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</w:r>
    </w:p>
    <w:p>
      <w:pPr>
        <w:pStyle w:val="Title"/>
        <w:jc w:val="center"/>
      </w:pPr>
      <w:r>
        <w:t>Business Requirements Document (BRD-06)</w:t>
      </w:r>
    </w:p>
    <w:p>
      <w:pPr>
        <w:jc w:val="center"/>
      </w:pPr>
      <w:r>
        <w:rPr>
          <w:b/>
          <w:sz w:val="32"/>
        </w:rPr>
        <w:t>Appendices</w:t>
        <w:br/>
        <w:t>Enterprise Trust &amp; Safety Operations Analytics Data Warehouse</w:t>
      </w:r>
    </w:p>
    <w:p>
      <w:r>
        <w:br/>
        <w:br/>
      </w:r>
    </w:p>
    <w:p>
      <w:pPr>
        <w:jc w:val="center"/>
      </w:pPr>
      <w:r>
        <w:t>Project ID: TNS-EDW-006</w:t>
      </w:r>
    </w:p>
    <w:p>
      <w:pPr>
        <w:jc w:val="center"/>
      </w:pPr>
      <w:r>
        <w:t>Version Number: 1.0</w:t>
      </w:r>
    </w:p>
    <w:p>
      <w:pPr>
        <w:jc w:val="center"/>
      </w:pPr>
      <w:r>
        <w:t>Document Status: Final</w:t>
      </w:r>
    </w:p>
    <w:p>
      <w:pPr>
        <w:jc w:val="center"/>
      </w:pPr>
      <w:r>
        <w:t>Prepared By: Tushar Mehta, Business Analyst</w:t>
      </w:r>
    </w:p>
    <w:p>
      <w:pPr>
        <w:jc w:val="center"/>
      </w:pPr>
      <w:r>
        <w:t>Target Audience: Project Team, Stakeholders</w:t>
      </w:r>
    </w:p>
    <w:p>
      <w:pPr>
        <w:jc w:val="center"/>
      </w:pPr>
      <w:r>
        <w:t>Date: 21/07/2026</w:t>
      </w:r>
    </w:p>
    <w:p>
      <w:pPr>
        <w:jc w:val="center"/>
      </w:pPr>
      <w:r>
        <w:t>Confidentiality Statement: Internal Use Only</w:t>
      </w:r>
    </w:p>
    <w:p>
      <w:r>
        <w:br w:type="page"/>
      </w:r>
    </w:p>
    <w:p>
      <w:pPr>
        <w:pStyle w:val="Heading1"/>
      </w:pPr>
      <w:r>
        <w:t>1.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Attribute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>
              <w:t>BRD-06: Appendices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Enterprise Trust &amp; Safety Operations Analytics Data Warehouse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Final</w:t>
            </w:r>
          </w:p>
        </w:tc>
      </w:tr>
      <w:tr>
        <w:tc>
          <w:tcPr>
            <w:tcW w:type="dxa" w:w="4320"/>
          </w:tcPr>
          <w:p>
            <w:r>
              <w:t>Creation Date</w:t>
            </w:r>
          </w:p>
        </w:tc>
        <w:tc>
          <w:tcPr>
            <w:tcW w:type="dxa" w:w="4320"/>
          </w:tcPr>
          <w:p>
            <w:r>
              <w:t>21/07/2026</w:t>
            </w:r>
          </w:p>
        </w:tc>
      </w:tr>
    </w:tbl>
    <w:p/>
    <w:p>
      <w:pPr>
        <w:pStyle w:val="Heading1"/>
      </w:pPr>
      <w:r>
        <w:t>2. Table of Contents</w:t>
      </w:r>
    </w:p>
    <w:p>
      <w:r>
        <w:t>1. Document Control</w:t>
      </w:r>
    </w:p>
    <w:p>
      <w:r>
        <w:t>2. Table of Contents</w:t>
      </w:r>
    </w:p>
    <w:p>
      <w:r>
        <w:t>3. Glossary</w:t>
      </w:r>
    </w:p>
    <w:p>
      <w:r>
        <w:t>4. Acronyms</w:t>
      </w:r>
    </w:p>
    <w:p>
      <w:r>
        <w:t>5. Dependencies</w:t>
      </w:r>
    </w:p>
    <w:p>
      <w:r>
        <w:t>6. References</w:t>
      </w:r>
    </w:p>
    <w:p>
      <w:r>
        <w:t>7. Traceability Summary</w:t>
      </w:r>
    </w:p>
    <w:p>
      <w:r>
        <w:t>8. Future Roadmap</w:t>
      </w:r>
    </w:p>
    <w:p>
      <w:r>
        <w:t>9. Version 2 Enhancements</w:t>
      </w:r>
    </w:p>
    <w:p>
      <w:r>
        <w:t>10. Change Requests</w:t>
      </w:r>
    </w:p>
    <w:p>
      <w:r>
        <w:t>11. Sign-off</w:t>
      </w:r>
    </w:p>
    <w:p>
      <w:r>
        <w:br w:type="page"/>
      </w:r>
    </w:p>
    <w:p>
      <w:pPr>
        <w:pStyle w:val="Heading1"/>
      </w:pPr>
      <w:r>
        <w:t>3.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t>Bus Architecture</w:t>
            </w:r>
          </w:p>
        </w:tc>
        <w:tc>
          <w:tcPr>
            <w:tcW w:type="dxa" w:w="4320"/>
          </w:tcPr>
          <w:p>
            <w:r>
              <w:t>A dimensional modeling approach that uses conformed dimensions to link separate business processes (fact tables) together.</w:t>
            </w:r>
          </w:p>
        </w:tc>
      </w:tr>
      <w:tr>
        <w:tc>
          <w:tcPr>
            <w:tcW w:type="dxa" w:w="4320"/>
          </w:tcPr>
          <w:p>
            <w:r>
              <w:t>Conformed Dimension</w:t>
            </w:r>
          </w:p>
        </w:tc>
        <w:tc>
          <w:tcPr>
            <w:tcW w:type="dxa" w:w="4320"/>
          </w:tcPr>
          <w:p>
            <w:r>
              <w:t>A dimension table that has exactly the same meaning and content when referred to from different fact tables (e.g., Dim_Employee).</w:t>
            </w:r>
          </w:p>
        </w:tc>
      </w:tr>
      <w:tr>
        <w:tc>
          <w:tcPr>
            <w:tcW w:type="dxa" w:w="4320"/>
          </w:tcPr>
          <w:p>
            <w:r>
              <w:t>Missed Line of Time (MLOT)</w:t>
            </w:r>
          </w:p>
        </w:tc>
        <w:tc>
          <w:tcPr>
            <w:tcW w:type="dxa" w:w="4320"/>
          </w:tcPr>
          <w:p>
            <w:r>
              <w:t>Unbilled or unclassified time where an agent was paid but no corresponding revenue was recognized.</w:t>
            </w:r>
          </w:p>
        </w:tc>
      </w:tr>
      <w:tr>
        <w:tc>
          <w:tcPr>
            <w:tcW w:type="dxa" w:w="4320"/>
          </w:tcPr>
          <w:p>
            <w:r>
              <w:t>Star Schema</w:t>
            </w:r>
          </w:p>
        </w:tc>
        <w:tc>
          <w:tcPr>
            <w:tcW w:type="dxa" w:w="4320"/>
          </w:tcPr>
          <w:p>
            <w:r>
              <w:t>A data modeling technique mapping a central fact table to surrounding dimension tables, optimized for query performance.</w:t>
            </w:r>
          </w:p>
        </w:tc>
      </w:tr>
      <w:tr>
        <w:tc>
          <w:tcPr>
            <w:tcW w:type="dxa" w:w="4320"/>
          </w:tcPr>
          <w:p>
            <w:r>
              <w:t>Drill-through</w:t>
            </w:r>
          </w:p>
        </w:tc>
        <w:tc>
          <w:tcPr>
            <w:tcW w:type="dxa" w:w="4320"/>
          </w:tcPr>
          <w:p>
            <w:r>
              <w:t>A BI feature allowing users to click on an aggregated metric and view the underlying granular data.</w:t>
            </w:r>
          </w:p>
        </w:tc>
      </w:tr>
      <w:tr>
        <w:tc>
          <w:tcPr>
            <w:tcW w:type="dxa" w:w="4320"/>
          </w:tcPr>
          <w:p>
            <w:r>
              <w:t>Row-Level Security (RLS)</w:t>
            </w:r>
          </w:p>
        </w:tc>
        <w:tc>
          <w:tcPr>
            <w:tcW w:type="dxa" w:w="4320"/>
          </w:tcPr>
          <w:p>
            <w:r>
              <w:t>A security feature that restricts data access at the row level based on the user's role or department.</w:t>
            </w:r>
          </w:p>
        </w:tc>
      </w:tr>
    </w:tbl>
    <w:p/>
    <w:p>
      <w:pPr>
        <w:pStyle w:val="Heading1"/>
      </w:pPr>
      <w:r>
        <w:t>4. Acronyms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Acronym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AHT</w:t>
            </w:r>
          </w:p>
        </w:tc>
        <w:tc>
          <w:tcPr>
            <w:tcW w:type="dxa" w:w="4320"/>
          </w:tcPr>
          <w:p>
            <w:r>
              <w:t>Average Handle Time</w:t>
            </w:r>
          </w:p>
        </w:tc>
      </w:tr>
      <w:tr>
        <w:tc>
          <w:tcPr>
            <w:tcW w:type="dxa" w:w="4320"/>
          </w:tcPr>
          <w:p>
            <w:r>
              <w:t>BRD</w:t>
            </w:r>
          </w:p>
        </w:tc>
        <w:tc>
          <w:tcPr>
            <w:tcW w:type="dxa" w:w="4320"/>
          </w:tcPr>
          <w:p>
            <w:r>
              <w:t>Business Requirements Document</w:t>
            </w:r>
          </w:p>
        </w:tc>
      </w:tr>
      <w:tr>
        <w:tc>
          <w:tcPr>
            <w:tcW w:type="dxa" w:w="4320"/>
          </w:tcPr>
          <w:p>
            <w:r>
              <w:t>CR</w:t>
            </w:r>
          </w:p>
        </w:tc>
        <w:tc>
          <w:tcPr>
            <w:tcW w:type="dxa" w:w="4320"/>
          </w:tcPr>
          <w:p>
            <w:r>
              <w:t>Change Request</w:t>
            </w:r>
          </w:p>
        </w:tc>
      </w:tr>
      <w:tr>
        <w:tc>
          <w:tcPr>
            <w:tcW w:type="dxa" w:w="4320"/>
          </w:tcPr>
          <w:p>
            <w:r>
              <w:t>DAX</w:t>
            </w:r>
          </w:p>
        </w:tc>
        <w:tc>
          <w:tcPr>
            <w:tcW w:type="dxa" w:w="4320"/>
          </w:tcPr>
          <w:p>
            <w:r>
              <w:t>Data Analysis Expressions</w:t>
            </w:r>
          </w:p>
        </w:tc>
      </w:tr>
      <w:tr>
        <w:tc>
          <w:tcPr>
            <w:tcW w:type="dxa" w:w="4320"/>
          </w:tcPr>
          <w:p>
            <w:r>
              <w:t>EDW</w:t>
            </w:r>
          </w:p>
        </w:tc>
        <w:tc>
          <w:tcPr>
            <w:tcW w:type="dxa" w:w="4320"/>
          </w:tcPr>
          <w:p>
            <w:r>
              <w:t>Enterprise Data Warehouse</w:t>
            </w:r>
          </w:p>
        </w:tc>
      </w:tr>
      <w:tr>
        <w:tc>
          <w:tcPr>
            <w:tcW w:type="dxa" w:w="4320"/>
          </w:tcPr>
          <w:p>
            <w:r>
              <w:t>ETL</w:t>
            </w:r>
          </w:p>
        </w:tc>
        <w:tc>
          <w:tcPr>
            <w:tcW w:type="dxa" w:w="4320"/>
          </w:tcPr>
          <w:p>
            <w:r>
              <w:t>Extract, Transform, Load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MLOT</w:t>
            </w:r>
          </w:p>
        </w:tc>
        <w:tc>
          <w:tcPr>
            <w:tcW w:type="dxa" w:w="4320"/>
          </w:tcPr>
          <w:p>
            <w:r>
              <w:t>Missed Line of Time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SME</w:t>
            </w:r>
          </w:p>
        </w:tc>
        <w:tc>
          <w:tcPr>
            <w:tcW w:type="dxa" w:w="4320"/>
          </w:tcPr>
          <w:p>
            <w:r>
              <w:t>Subject Matter Expert</w:t>
            </w:r>
          </w:p>
        </w:tc>
      </w:tr>
      <w:tr>
        <w:tc>
          <w:tcPr>
            <w:tcW w:type="dxa" w:w="4320"/>
          </w:tcPr>
          <w:p>
            <w:r>
              <w:t>WFM</w:t>
            </w:r>
          </w:p>
        </w:tc>
        <w:tc>
          <w:tcPr>
            <w:tcW w:type="dxa" w:w="4320"/>
          </w:tcPr>
          <w:p>
            <w:r>
              <w:t>Workforce Management</w:t>
            </w:r>
          </w:p>
        </w:tc>
      </w:tr>
    </w:tbl>
    <w:p/>
    <w:p>
      <w:pPr>
        <w:pStyle w:val="Heading1"/>
      </w:pPr>
      <w:r>
        <w:t>5. Dependencies</w:t>
      </w:r>
    </w:p>
    <w:p>
      <w:r>
        <w:t>The successful delivery of this project relies on the following dependencies:</w:t>
        <w:br/>
        <w:t>• Access to Source Systems: Data Engineering requires uninterrupted API and database access to the T&amp;S Moderation platform, Verint WFM, and QA audit tools.</w:t>
        <w:br/>
        <w:t>• Infrastructure Provisioning: DBA approval and provisioning of the MySQL staging and warehouse servers with sufficient compute capacity.</w:t>
        <w:br/>
        <w:t>• Licensing: Procurement and assignment of Microsoft Power BI Pro/Premium licenses for all targeted end-users.</w:t>
        <w:br/>
        <w:t>• SME Availability: Operations and Finance Subject Matter Experts must be available for KPI definition and UAT validation phases.</w:t>
      </w:r>
    </w:p>
    <w:p>
      <w:pPr>
        <w:pStyle w:val="Heading1"/>
      </w:pPr>
      <w:r>
        <w:t>6. References</w:t>
      </w:r>
    </w:p>
    <w:p>
      <w:r>
        <w:t>This document should be read in conjunction with the following project artifacts:</w:t>
        <w:br/>
        <w:t>• BRD-01: Project Initiation &amp; Business Context</w:t>
        <w:br/>
        <w:t>• BRD-02: Current State (As-Is) &amp; Future State (To-Be)</w:t>
        <w:br/>
        <w:t>• BRD-03: Stakeholders &amp; Business Requirements</w:t>
        <w:br/>
        <w:t>• BRD-04: Data Requirements &amp; Solution Overview</w:t>
        <w:br/>
        <w:t>• BRD-05: Reporting Requirements</w:t>
        <w:br/>
        <w:t>• LDM-01: Master Enterprise ER Diagram (Bus Architecture)</w:t>
        <w:br/>
        <w:t>• DD-01: Enterprise Data Dictionary</w:t>
        <w:br/>
        <w:t>• KPI-01: Enterprise KPI Repository</w:t>
      </w:r>
    </w:p>
    <w:p>
      <w:pPr>
        <w:pStyle w:val="Heading1"/>
      </w:pPr>
      <w:r>
        <w:t>7. Traceability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Business Objective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Requirement ID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Dashboard Target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Standardize Operations Reporting</w:t>
            </w:r>
          </w:p>
        </w:tc>
        <w:tc>
          <w:tcPr>
            <w:tcW w:type="dxa" w:w="2160"/>
          </w:tcPr>
          <w:p>
            <w:r>
              <w:t>BR-001, NFR-001</w:t>
            </w:r>
          </w:p>
        </w:tc>
        <w:tc>
          <w:tcPr>
            <w:tcW w:type="dxa" w:w="2160"/>
          </w:tcPr>
          <w:p>
            <w:r>
              <w:t>DB-02: Operations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</w:tr>
      <w:tr>
        <w:tc>
          <w:tcPr>
            <w:tcW w:type="dxa" w:w="2160"/>
          </w:tcPr>
          <w:p>
            <w:r>
              <w:t>Implement Cross-Functional Links</w:t>
            </w:r>
          </w:p>
        </w:tc>
        <w:tc>
          <w:tcPr>
            <w:tcW w:type="dxa" w:w="2160"/>
          </w:tcPr>
          <w:p>
            <w:r>
              <w:t>BR-002</w:t>
            </w:r>
          </w:p>
        </w:tc>
        <w:tc>
          <w:tcPr>
            <w:tcW w:type="dxa" w:w="2160"/>
          </w:tcPr>
          <w:p>
            <w:r>
              <w:t>All Dashboards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</w:tr>
      <w:tr>
        <w:tc>
          <w:tcPr>
            <w:tcW w:type="dxa" w:w="2160"/>
          </w:tcPr>
          <w:p>
            <w:r>
              <w:t>Reduce Revenue Leakage</w:t>
            </w:r>
          </w:p>
        </w:tc>
        <w:tc>
          <w:tcPr>
            <w:tcW w:type="dxa" w:w="2160"/>
          </w:tcPr>
          <w:p>
            <w:r>
              <w:t>BR-003, BR-004</w:t>
            </w:r>
          </w:p>
        </w:tc>
        <w:tc>
          <w:tcPr>
            <w:tcW w:type="dxa" w:w="2160"/>
          </w:tcPr>
          <w:p>
            <w:r>
              <w:t>DB-06: Finance</w:t>
            </w:r>
          </w:p>
        </w:tc>
        <w:tc>
          <w:tcPr>
            <w:tcW w:type="dxa" w:w="2160"/>
          </w:tcPr>
          <w:p>
            <w:r>
              <w:t>Approved via CR-001</w:t>
            </w:r>
          </w:p>
        </w:tc>
      </w:tr>
      <w:tr>
        <w:tc>
          <w:tcPr>
            <w:tcW w:type="dxa" w:w="2160"/>
          </w:tcPr>
          <w:p>
            <w:r>
              <w:t>Enhance Quality Governance</w:t>
            </w:r>
          </w:p>
        </w:tc>
        <w:tc>
          <w:tcPr>
            <w:tcW w:type="dxa" w:w="2160"/>
          </w:tcPr>
          <w:p>
            <w:r>
              <w:t>REP-001, NFR-002</w:t>
            </w:r>
          </w:p>
        </w:tc>
        <w:tc>
          <w:tcPr>
            <w:tcW w:type="dxa" w:w="2160"/>
          </w:tcPr>
          <w:p>
            <w:r>
              <w:t>DB-03: Quality Assurance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</w:tr>
      <w:tr>
        <w:tc>
          <w:tcPr>
            <w:tcW w:type="dxa" w:w="2160"/>
          </w:tcPr>
          <w:p>
            <w:r>
              <w:t>Improve Executive Visibility</w:t>
            </w:r>
          </w:p>
        </w:tc>
        <w:tc>
          <w:tcPr>
            <w:tcW w:type="dxa" w:w="2160"/>
          </w:tcPr>
          <w:p>
            <w:r>
              <w:t>DB-001, REP-001</w:t>
            </w:r>
          </w:p>
        </w:tc>
        <w:tc>
          <w:tcPr>
            <w:tcW w:type="dxa" w:w="2160"/>
          </w:tcPr>
          <w:p>
            <w:r>
              <w:t>DB-01: Executive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8. Future Roadmap</w:t>
      </w:r>
    </w:p>
    <w:p>
      <w:r>
        <w:t>Following the successful deployment of Version 1 (V1), the Enterprise Data Warehouse will continue to evolve. The roadmap is structured into three phases:</w:t>
        <w:br/>
        <w:t>• Phase 1 (Current): Core Bus Architecture, ETL Automation, and 6 Descriptive BI Dashboards.</w:t>
        <w:br/>
        <w:t>• Phase 2 (Months 6-12): Integration of HR/Payroll data, automated alerts for intra-day shrinkage, and advanced self-service BI capabilities.</w:t>
        <w:br/>
        <w:t>• Phase 3 (Months 12-18): Predictive analytics, capacity forecasting models, and Generative AI-driven root cause analysis summaries.</w:t>
      </w:r>
    </w:p>
    <w:p>
      <w:pPr>
        <w:pStyle w:val="Heading1"/>
      </w:pPr>
      <w:r>
        <w:t>9. Version 2 Enhancements</w:t>
      </w:r>
    </w:p>
    <w:p>
      <w:r>
        <w:t>The following features have been logged for Version 2 (V2) consideration:</w:t>
        <w:br/>
        <w:t>• Real-Time Streaming: Upgrading from hourly delta loads to near real-time streaming (DirectQuery/Kafka) for the DB-02 Operations queue tracker.</w:t>
        <w:br/>
        <w:t>• Predictive SLA Modeling: Utilizing historical AHT and volume trends to predict SLA breaches 4-8 hours in advance.</w:t>
        <w:br/>
        <w:t>• Generative AI Integration: Implementing Power BI Copilot to allow executives to ask natural language questions (e.g., 'Why did Gross Margin drop in Site A yesterday?').</w:t>
        <w:br/>
        <w:t>• Automated Coaching Workflows: Two-way integration allowing QA managers to assign coaching directly from the DB-03 dashboard back into the LMS.</w:t>
      </w:r>
    </w:p>
    <w:p>
      <w:pPr>
        <w:pStyle w:val="Heading1"/>
      </w:pPr>
      <w:r>
        <w:t>10. Change Requests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CR ID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Impact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CR-001</w:t>
            </w:r>
          </w:p>
        </w:tc>
        <w:tc>
          <w:tcPr>
            <w:tcW w:type="dxa" w:w="2160"/>
          </w:tcPr>
          <w:p>
            <w:r>
              <w:t>Integration of Dim_Billing_Model and MLOT Framework into Fact_Finance. Originally out of scope, added to address urgent revenue leakage concerns.</w:t>
            </w:r>
          </w:p>
        </w:tc>
        <w:tc>
          <w:tcPr>
            <w:tcW w:type="dxa" w:w="2160"/>
          </w:tcPr>
          <w:p>
            <w:r>
              <w:t>Adds 40 hours of Data Engineering work. Minor timeline shift.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11. Sign-off</w:t>
      </w:r>
    </w:p>
    <w:p>
      <w:r>
        <w:t>By signing below, stakeholders acknowledge that they have reviewed and approved the requirements, scope, and technical design documented across BRD-01 through BRD-06.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Stakeholder Name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Signature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t>Sarah Jenkins</w:t>
            </w:r>
          </w:p>
        </w:tc>
        <w:tc>
          <w:tcPr>
            <w:tcW w:type="dxa" w:w="2160"/>
          </w:tcPr>
          <w:p>
            <w:r>
              <w:t>Business Sponsor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David Chen</w:t>
            </w:r>
          </w:p>
        </w:tc>
        <w:tc>
          <w:tcPr>
            <w:tcW w:type="dxa" w:w="2160"/>
          </w:tcPr>
          <w:p>
            <w:r>
              <w:t>Operations Manager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Linda Hayes</w:t>
            </w:r>
          </w:p>
        </w:tc>
        <w:tc>
          <w:tcPr>
            <w:tcW w:type="dxa" w:w="2160"/>
          </w:tcPr>
          <w:p>
            <w:r>
              <w:t>Finance Manager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Raj Patel</w:t>
            </w:r>
          </w:p>
        </w:tc>
        <w:tc>
          <w:tcPr>
            <w:tcW w:type="dxa" w:w="2160"/>
          </w:tcPr>
          <w:p>
            <w:r>
              <w:t>BI Lead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