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Name</w:t>
            </w:r>
          </w:p>
        </w:tc>
        <w:tc>
          <w:tcPr>
            <w:tcW w:type="dxa" w:w="4320"/>
          </w:tcPr>
          <w:p>
            <w:r>
              <w:t>Meeting Minutes - QA Requirement Workshop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ConnectSphere Trust &amp; Safety Operations Intelligence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Tushar Mehta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4320"/>
          </w:tcPr>
          <w:p>
            <w:r>
              <w:t>QA Manager / Project Sponsor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Approval Date</w:t>
            </w:r>
          </w:p>
        </w:tc>
        <w:tc>
          <w:tcPr>
            <w:tcW w:type="dxa" w:w="4320"/>
          </w:tcPr>
          <w:p>
            <w:r>
              <w:t>08 July 2026</w:t>
            </w:r>
          </w:p>
        </w:tc>
      </w:tr>
    </w:tbl>
    <w:p/>
    <w:p>
      <w:pPr>
        <w:pStyle w:val="Heading2"/>
      </w:pPr>
      <w:r>
        <w:t>Meeting Information</w:t>
      </w:r>
    </w:p>
    <w:p>
      <w:r>
        <w:rPr>
          <w:b/>
        </w:rPr>
        <w:t>Meeting Title: Quality Assurance (QA) Requirement Workshop</w:t>
      </w:r>
    </w:p>
    <w:p>
      <w:r>
        <w:rPr>
          <w:b/>
        </w:rPr>
        <w:t>Objective: Understand current QA workflow, calibration, auditing processes, coaching feedback loops, and identify operational pain points in quality reporting.</w:t>
      </w:r>
    </w:p>
    <w:p>
      <w:pPr>
        <w:pStyle w:val="Heading2"/>
      </w:pPr>
      <w: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Department</w:t>
            </w:r>
          </w:p>
        </w:tc>
      </w:tr>
      <w:tr>
        <w:tc>
          <w:tcPr>
            <w:tcW w:type="dxa" w:w="2880"/>
          </w:tcPr>
          <w:p>
            <w:r>
              <w:t>QA Manager</w:t>
            </w:r>
          </w:p>
        </w:tc>
        <w:tc>
          <w:tcPr>
            <w:tcW w:type="dxa" w:w="2880"/>
          </w:tcPr>
          <w:p>
            <w:r>
              <w:t>SME</w:t>
            </w:r>
          </w:p>
        </w:tc>
        <w:tc>
          <w:tcPr>
            <w:tcW w:type="dxa" w:w="2880"/>
          </w:tcPr>
          <w:p>
            <w:r>
              <w:t>Quality Assurance</w:t>
            </w:r>
          </w:p>
        </w:tc>
      </w:tr>
      <w:tr>
        <w:tc>
          <w:tcPr>
            <w:tcW w:type="dxa" w:w="2880"/>
          </w:tcPr>
          <w:p>
            <w:r>
              <w:t>Tushar Mehta</w:t>
            </w:r>
          </w:p>
        </w:tc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Business Analysis</w:t>
            </w:r>
          </w:p>
        </w:tc>
      </w:tr>
      <w:tr>
        <w:tc>
          <w:tcPr>
            <w:tcW w:type="dxa" w:w="2880"/>
          </w:tcPr>
          <w:p>
            <w:r>
              <w:t>Operations Manager</w:t>
            </w:r>
          </w:p>
        </w:tc>
        <w:tc>
          <w:tcPr>
            <w:tcW w:type="dxa" w:w="2880"/>
          </w:tcPr>
          <w:p>
            <w:r>
              <w:t>SME</w:t>
            </w:r>
          </w:p>
        </w:tc>
        <w:tc>
          <w:tcPr>
            <w:tcW w:type="dxa" w:w="2880"/>
          </w:tcPr>
          <w:p>
            <w:r>
              <w:t>Trust &amp; Safety Operations</w:t>
            </w:r>
          </w:p>
        </w:tc>
      </w:tr>
    </w:tbl>
    <w:p/>
    <w:p>
      <w:pPr>
        <w:pStyle w:val="Heading2"/>
      </w:pPr>
      <w:r>
        <w:t>1. Current QA Process</w:t>
      </w:r>
    </w:p>
    <w:p>
      <w:pPr>
        <w:pStyle w:val="ListNumber"/>
      </w:pPr>
      <w:r>
        <w:t>Step 1: Moderators complete moderation; cases are closed.</w:t>
      </w:r>
    </w:p>
    <w:p>
      <w:pPr>
        <w:pStyle w:val="ListNumber"/>
      </w:pPr>
      <w:r>
        <w:t>Step 2: Internal QA randomly selects cases. Sampling depends on Queue, Moderator, Performance history, and Client requirement.</w:t>
      </w:r>
    </w:p>
    <w:p>
      <w:pPr>
        <w:pStyle w:val="ListNumber"/>
      </w:pPr>
      <w:r>
        <w:t>Step 3: QA audits the case checking for Correct policy interpretation, Correct action, Proper documentation, and SLA adherence.</w:t>
      </w:r>
    </w:p>
    <w:p>
      <w:pPr>
        <w:pStyle w:val="ListNumber"/>
      </w:pPr>
      <w:r>
        <w:t>Step 4: Score is assigned (e.g., Accuracy 95%).</w:t>
      </w:r>
    </w:p>
    <w:p>
      <w:pPr>
        <w:pStyle w:val="ListNumber"/>
      </w:pPr>
      <w:r>
        <w:t>Step 5: If major errors are found: Coaching is scheduled -&gt; Ops Manager is informed -&gt; Repeat monitoring begins.</w:t>
      </w:r>
    </w:p>
    <w:p>
      <w:pPr>
        <w:pStyle w:val="ListNumber"/>
      </w:pPr>
      <w:r>
        <w:t>Step 6: Client independently audits another sample. Client score is compared with Internal QA for Calibration discussions.</w:t>
      </w:r>
    </w:p>
    <w:p>
      <w:pPr>
        <w:pStyle w:val="ListNumber"/>
      </w:pPr>
      <w:r>
        <w:t>Step 7: Appeals process: If Ops disagrees, an appeal is submitted -&gt; Senior QA reviews -&gt; Final decision is recorded.</w:t>
      </w:r>
    </w:p>
    <w:p>
      <w:pPr>
        <w:pStyle w:val="Heading2"/>
      </w:pPr>
      <w:r>
        <w:t>2. Key Business Rules Identified</w:t>
      </w:r>
    </w:p>
    <w:p>
      <w:r>
        <w:t>The following business rules (BR-028 to BR-033) were captured. The BA corrected the numbering sequence from the initial notes to avoid duplicating WFM requirement IDs. See Requirement Discovery Log for details.</w:t>
      </w:r>
    </w:p>
    <w:p>
      <w:pPr>
        <w:pStyle w:val="Heading2"/>
      </w:pPr>
      <w:r>
        <w:t>3.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Action Item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Target Date</w:t>
            </w:r>
          </w:p>
        </w:tc>
      </w:tr>
      <w:tr>
        <w:tc>
          <w:tcPr>
            <w:tcW w:type="dxa" w:w="2880"/>
          </w:tcPr>
          <w:p>
            <w:r>
              <w:t>Log identified Business Rules into BRD</w:t>
            </w:r>
          </w:p>
        </w:tc>
        <w:tc>
          <w:tcPr>
            <w:tcW w:type="dxa" w:w="2880"/>
          </w:tcPr>
          <w:p>
            <w:r>
              <w:t>Tushar Mehta</w:t>
            </w:r>
          </w:p>
        </w:tc>
        <w:tc>
          <w:tcPr>
            <w:tcW w:type="dxa" w:w="2880"/>
          </w:tcPr>
          <w:p>
            <w:r>
              <w:t>10 July 2026</w:t>
            </w:r>
          </w:p>
        </w:tc>
      </w:tr>
      <w:tr>
        <w:tc>
          <w:tcPr>
            <w:tcW w:type="dxa" w:w="2880"/>
          </w:tcPr>
          <w:p>
            <w:r>
              <w:t>Map data sources for Internal QA vs Client QA</w:t>
            </w:r>
          </w:p>
        </w:tc>
        <w:tc>
          <w:tcPr>
            <w:tcW w:type="dxa" w:w="2880"/>
          </w:tcPr>
          <w:p>
            <w:r>
              <w:t>Tushar Mehta</w:t>
            </w:r>
          </w:p>
        </w:tc>
        <w:tc>
          <w:tcPr>
            <w:tcW w:type="dxa" w:w="2880"/>
          </w:tcPr>
          <w:p>
            <w:r>
              <w:t>12 July 2026</w:t>
            </w:r>
          </w:p>
        </w:tc>
      </w:tr>
      <w:tr>
        <w:tc>
          <w:tcPr>
            <w:tcW w:type="dxa" w:w="2880"/>
          </w:tcPr>
          <w:p>
            <w:r>
              <w:t>Create standardized Error Category dictionary</w:t>
            </w:r>
          </w:p>
        </w:tc>
        <w:tc>
          <w:tcPr>
            <w:tcW w:type="dxa" w:w="2880"/>
          </w:tcPr>
          <w:p>
            <w:r>
              <w:t>QA Manager</w:t>
            </w:r>
          </w:p>
        </w:tc>
        <w:tc>
          <w:tcPr>
            <w:tcW w:type="dxa" w:w="2880"/>
          </w:tcPr>
          <w:p>
            <w:r>
              <w:t>14 July 2026</w:t>
            </w:r>
          </w:p>
        </w:tc>
      </w:tr>
      <w:tr>
        <w:tc>
          <w:tcPr>
            <w:tcW w:type="dxa" w:w="2880"/>
          </w:tcPr>
          <w:p>
            <w:r>
              <w:t>Draft Pain Point Register for QA</w:t>
            </w:r>
          </w:p>
        </w:tc>
        <w:tc>
          <w:tcPr>
            <w:tcW w:type="dxa" w:w="2880"/>
          </w:tcPr>
          <w:p>
            <w:r>
              <w:t>Tushar Mehta</w:t>
            </w:r>
          </w:p>
        </w:tc>
        <w:tc>
          <w:tcPr>
            <w:tcW w:type="dxa" w:w="2880"/>
          </w:tcPr>
          <w:p>
            <w:r>
              <w:t>10 July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