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  <w:shd w:fill="F2F2F2"/>
          </w:tcPr>
          <w:p>
            <w:r>
              <w:rPr>
                <w:b/>
              </w:rPr>
              <w:t>Document Name</w:t>
            </w:r>
          </w:p>
        </w:tc>
        <w:tc>
          <w:tcPr>
            <w:tcW w:type="dxa" w:w="7200"/>
          </w:tcPr>
          <w:p>
            <w:r>
              <w:t>Pain Point Register - Finance Phase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7200"/>
          </w:tcPr>
          <w:p>
            <w:r>
              <w:t>ConnectSphere Trust &amp; Safety Operations Intelligence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7200"/>
          </w:tcPr>
          <w:p>
            <w:r>
              <w:t>1.0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200"/>
          </w:tcPr>
          <w:p>
            <w:r>
              <w:t>Draft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7200"/>
          </w:tcPr>
          <w:p>
            <w:r>
              <w:t>Tushar Mehta – Business Analyst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7200"/>
          </w:tcPr>
          <w:p>
            <w:r>
              <w:t>Finance Manager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Approval Date</w:t>
            </w:r>
          </w:p>
        </w:tc>
        <w:tc>
          <w:tcPr>
            <w:tcW w:type="dxa" w:w="7200"/>
          </w:tcPr>
          <w:p>
            <w:r>
              <w:t>08 July 2026</w:t>
            </w:r>
          </w:p>
        </w:tc>
      </w:tr>
    </w:tbl>
    <w:p/>
    <w:p>
      <w:pPr>
        <w:pStyle w:val="Heading2"/>
      </w:pPr>
      <w:r>
        <w:t>Pain Point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1152"/>
            <w:shd w:fill="003366"/>
          </w:tcPr>
          <w:p>
            <w:r>
              <w:rPr>
                <w:b/>
                <w:color w:val="FFFFFF"/>
              </w:rPr>
              <w:t>PP ID</w:t>
            </w:r>
          </w:p>
        </w:tc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Pain Point Description</w:t>
            </w:r>
          </w:p>
        </w:tc>
        <w:tc>
          <w:tcPr>
            <w:tcW w:type="dxa" w:w="1152"/>
            <w:shd w:fill="003366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Affected Depts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Proposed Solution / Target BR</w:t>
            </w:r>
          </w:p>
        </w:tc>
      </w:tr>
      <w:tr>
        <w:tc>
          <w:tcPr>
            <w:tcW w:type="dxa" w:w="1152"/>
          </w:tcPr>
          <w:p>
            <w:r>
              <w:t>PP-016</w:t>
            </w:r>
          </w:p>
        </w:tc>
        <w:tc>
          <w:tcPr>
            <w:tcW w:type="dxa" w:w="5040"/>
          </w:tcPr>
          <w:p>
            <w:r>
              <w:t>Billable hours are received from multiple Excel files; manual reconciliation required.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Finance, WFM</w:t>
            </w:r>
          </w:p>
        </w:tc>
        <w:tc>
          <w:tcPr>
            <w:tcW w:type="dxa" w:w="4320"/>
          </w:tcPr>
          <w:p>
            <w:r>
              <w:t>Develop Automated invoice and billing summary dashboards (BR-046, BR-051).</w:t>
            </w:r>
          </w:p>
        </w:tc>
      </w:tr>
      <w:tr>
        <w:tc>
          <w:tcPr>
            <w:tcW w:type="dxa" w:w="1152"/>
          </w:tcPr>
          <w:p>
            <w:r>
              <w:t>PP-017</w:t>
            </w:r>
          </w:p>
        </w:tc>
        <w:tc>
          <w:tcPr>
            <w:tcW w:type="dxa" w:w="5040"/>
          </w:tcPr>
          <w:p>
            <w:r>
              <w:t>There is no centralized billing dashboard.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Finance, Leadership</w:t>
            </w:r>
          </w:p>
        </w:tc>
        <w:tc>
          <w:tcPr>
            <w:tcW w:type="dxa" w:w="4320"/>
          </w:tcPr>
          <w:p>
            <w:r>
              <w:t>Deploy an Automated invoice dashboard within Power BI (BR-046).</w:t>
            </w:r>
          </w:p>
        </w:tc>
      </w:tr>
      <w:tr>
        <w:tc>
          <w:tcPr>
            <w:tcW w:type="dxa" w:w="1152"/>
          </w:tcPr>
          <w:p>
            <w:r>
              <w:t>PP-018</w:t>
            </w:r>
          </w:p>
        </w:tc>
        <w:tc>
          <w:tcPr>
            <w:tcW w:type="dxa" w:w="5040"/>
          </w:tcPr>
          <w:p>
            <w:r>
              <w:t>Revenue leakage is difficult to identify (e.g., incorrect AUX mapping).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Finance, Operations</w:t>
            </w:r>
          </w:p>
        </w:tc>
        <w:tc>
          <w:tcPr>
            <w:tcW w:type="dxa" w:w="4320"/>
          </w:tcPr>
          <w:p>
            <w:r>
              <w:t>Implement Revenue leakage alerts mapping operational status to billing rules (BR-048).</w:t>
            </w:r>
          </w:p>
        </w:tc>
      </w:tr>
      <w:tr>
        <w:tc>
          <w:tcPr>
            <w:tcW w:type="dxa" w:w="1152"/>
          </w:tcPr>
          <w:p>
            <w:r>
              <w:t>PP-019</w:t>
            </w:r>
          </w:p>
        </w:tc>
        <w:tc>
          <w:tcPr>
            <w:tcW w:type="dxa" w:w="5040"/>
          </w:tcPr>
          <w:p>
            <w:r>
              <w:t>Invoice preparation requires cross-verification with WFM every week.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Finance, WFM</w:t>
            </w:r>
          </w:p>
        </w:tc>
        <w:tc>
          <w:tcPr>
            <w:tcW w:type="dxa" w:w="4320"/>
          </w:tcPr>
          <w:p>
            <w:r>
              <w:t>Deploy a Billing exception tracker to automate validation checks (BR-050, BR-043).</w:t>
            </w:r>
          </w:p>
        </w:tc>
      </w:tr>
      <w:tr>
        <w:tc>
          <w:tcPr>
            <w:tcW w:type="dxa" w:w="1152"/>
          </w:tcPr>
          <w:p>
            <w:r>
              <w:t>PP-020</w:t>
            </w:r>
          </w:p>
        </w:tc>
        <w:tc>
          <w:tcPr>
            <w:tcW w:type="dxa" w:w="5040"/>
          </w:tcPr>
          <w:p>
            <w:r>
              <w:t>No dashboard exists to compare Forecast Revenue vs Actual Revenue.</w:t>
            </w:r>
          </w:p>
        </w:tc>
        <w:tc>
          <w:tcPr>
            <w:tcW w:type="dxa" w:w="1152"/>
          </w:tcPr>
          <w:p>
            <w:r>
              <w:t>Medium-High</w:t>
            </w:r>
          </w:p>
        </w:tc>
        <w:tc>
          <w:tcPr>
            <w:tcW w:type="dxa" w:w="2160"/>
          </w:tcPr>
          <w:p>
            <w:r>
              <w:t>Executive, Finance</w:t>
            </w:r>
          </w:p>
        </w:tc>
        <w:tc>
          <w:tcPr>
            <w:tcW w:type="dxa" w:w="4320"/>
          </w:tcPr>
          <w:p>
            <w:r>
              <w:t>Create a Revenue trend dashboard tracking forecast variance (BR-047).</w:t>
            </w:r>
          </w:p>
        </w:tc>
      </w:tr>
    </w:tbl>
    <w:sectPr w:rsidR="00FC693F" w:rsidRPr="0006063C" w:rsidSect="00034616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