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  <w:shd w:fill="F2F2F2"/>
          </w:tcPr>
          <w:p>
            <w:r>
              <w:rPr>
                <w:b/>
              </w:rPr>
              <w:t>Document Name</w:t>
            </w:r>
          </w:p>
        </w:tc>
        <w:tc>
          <w:tcPr>
            <w:tcW w:type="dxa" w:w="7200"/>
          </w:tcPr>
          <w:p>
            <w:r>
              <w:t>Pain Point Register - Operations Phase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7200"/>
          </w:tcPr>
          <w:p>
            <w:r>
              <w:t>ConnectSphere Trust &amp; Safety Operations Intelligence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7200"/>
          </w:tcPr>
          <w:p>
            <w:r>
              <w:t>1.0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200"/>
          </w:tcPr>
          <w:p>
            <w:r>
              <w:t>Approved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7200"/>
          </w:tcPr>
          <w:p>
            <w:r>
              <w:t>Tushar Mehta – Business Analyst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7200"/>
          </w:tcPr>
          <w:p>
            <w:r>
              <w:t>Operations Manager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Approval Date</w:t>
            </w:r>
          </w:p>
        </w:tc>
        <w:tc>
          <w:tcPr>
            <w:tcW w:type="dxa" w:w="7200"/>
          </w:tcPr>
          <w:p>
            <w:r>
              <w:t>29 June 2026</w:t>
            </w:r>
          </w:p>
        </w:tc>
      </w:tr>
    </w:tbl>
    <w:p/>
    <w:p>
      <w:pPr>
        <w:pStyle w:val="Heading2"/>
      </w:pPr>
      <w:r>
        <w:t>Pain Point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1152"/>
            <w:shd w:fill="003366"/>
          </w:tcPr>
          <w:p>
            <w:r>
              <w:rPr>
                <w:b/>
                <w:color w:val="FFFFFF"/>
              </w:rPr>
              <w:t>PP ID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Pain Point Description</w:t>
            </w:r>
          </w:p>
        </w:tc>
        <w:tc>
          <w:tcPr>
            <w:tcW w:type="dxa" w:w="1152"/>
            <w:shd w:fill="003366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Affected Depts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Proposed Solution / Target BR</w:t>
            </w:r>
          </w:p>
        </w:tc>
      </w:tr>
      <w:tr>
        <w:tc>
          <w:tcPr>
            <w:tcW w:type="dxa" w:w="1152"/>
          </w:tcPr>
          <w:p>
            <w:r>
              <w:t>PP-010</w:t>
            </w:r>
          </w:p>
        </w:tc>
        <w:tc>
          <w:tcPr>
            <w:tcW w:type="dxa" w:w="5040"/>
          </w:tcPr>
          <w:p>
            <w:r>
              <w:t>Operational reports are distributed across multiple systems and exported manually.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Automate data ingestion into a centralized platform (Fixes via BR-001).</w:t>
            </w:r>
          </w:p>
        </w:tc>
      </w:tr>
      <w:tr>
        <w:tc>
          <w:tcPr>
            <w:tcW w:type="dxa" w:w="1152"/>
          </w:tcPr>
          <w:p>
            <w:r>
              <w:t>PP-011</w:t>
            </w:r>
          </w:p>
        </w:tc>
        <w:tc>
          <w:tcPr>
            <w:tcW w:type="dxa" w:w="5040"/>
          </w:tcPr>
          <w:p>
            <w:r>
              <w:t>No centralized dashboard exists combining Operations, WFM, QA, and Finance.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Leadership, All</w:t>
            </w:r>
          </w:p>
        </w:tc>
        <w:tc>
          <w:tcPr>
            <w:tcW w:type="dxa" w:w="4320"/>
          </w:tcPr>
          <w:p>
            <w:r>
              <w:t>Develop an integrated BI architecture (Fixes via BR-003).</w:t>
            </w:r>
          </w:p>
        </w:tc>
      </w:tr>
      <w:tr>
        <w:tc>
          <w:tcPr>
            <w:tcW w:type="dxa" w:w="1152"/>
          </w:tcPr>
          <w:p>
            <w:r>
              <w:t>PP-012</w:t>
            </w:r>
          </w:p>
        </w:tc>
        <w:tc>
          <w:tcPr>
            <w:tcW w:type="dxa" w:w="5040"/>
          </w:tcPr>
          <w:p>
            <w:r>
              <w:t>Leadership spends significant time manually consolidating reports.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Executive, Ops</w:t>
            </w:r>
          </w:p>
        </w:tc>
        <w:tc>
          <w:tcPr>
            <w:tcW w:type="dxa" w:w="4320"/>
          </w:tcPr>
          <w:p>
            <w:r>
              <w:t>Deploy an automated Executive Dashboard (Fixes via BR-008).</w:t>
            </w:r>
          </w:p>
        </w:tc>
      </w:tr>
      <w:tr>
        <w:tc>
          <w:tcPr>
            <w:tcW w:type="dxa" w:w="1152"/>
          </w:tcPr>
          <w:p>
            <w:r>
              <w:t>PP-013</w:t>
            </w:r>
          </w:p>
        </w:tc>
        <w:tc>
          <w:tcPr>
            <w:tcW w:type="dxa" w:w="5040"/>
          </w:tcPr>
          <w:p>
            <w:r>
              <w:t>Historical trend analysis is difficult due to inconsistent report structures.</w:t>
            </w:r>
          </w:p>
        </w:tc>
        <w:tc>
          <w:tcPr>
            <w:tcW w:type="dxa" w:w="1152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Implement standardized data models and historical reporting capability (Fixes via BR-004).</w:t>
            </w:r>
          </w:p>
        </w:tc>
      </w:tr>
      <w:tr>
        <w:tc>
          <w:tcPr>
            <w:tcW w:type="dxa" w:w="1152"/>
          </w:tcPr>
          <w:p>
            <w:r>
              <w:t>PP-014</w:t>
            </w:r>
          </w:p>
        </w:tc>
        <w:tc>
          <w:tcPr>
            <w:tcW w:type="dxa" w:w="5040"/>
          </w:tcPr>
          <w:p>
            <w:r>
              <w:t>Operational decisions are delayed because reporting is fragmented.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Deliver near-real-time operational views (Fixes via BR-001).</w:t>
            </w:r>
          </w:p>
        </w:tc>
      </w:tr>
      <w:tr>
        <w:tc>
          <w:tcPr>
            <w:tcW w:type="dxa" w:w="1152"/>
          </w:tcPr>
          <w:p>
            <w:r>
              <w:t>PP-015</w:t>
            </w:r>
          </w:p>
        </w:tc>
        <w:tc>
          <w:tcPr>
            <w:tcW w:type="dxa" w:w="5040"/>
          </w:tcPr>
          <w:p>
            <w:r>
              <w:t>Different departments use different KPI definitions, leading to reporting inconsistencies.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All Departments</w:t>
            </w:r>
          </w:p>
        </w:tc>
        <w:tc>
          <w:tcPr>
            <w:tcW w:type="dxa" w:w="4320"/>
          </w:tcPr>
          <w:p>
            <w:r>
              <w:t>Create and document a Standardized KPI Dictionary (Fixes via BR-002).</w:t>
            </w:r>
          </w:p>
        </w:tc>
      </w:tr>
    </w:tbl>
    <w:sectPr w:rsidR="00FC693F" w:rsidRPr="0006063C" w:rsidSect="00034616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