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  <w:shd w:fill="F2F2F2"/>
          </w:tcPr>
          <w:p>
            <w:r>
              <w:rPr>
                <w:b/>
              </w:rPr>
              <w:t>Document Name</w:t>
            </w:r>
          </w:p>
        </w:tc>
        <w:tc>
          <w:tcPr>
            <w:tcW w:type="dxa" w:w="7200"/>
          </w:tcPr>
          <w:p>
            <w:r>
              <w:t>Pain Point Register - QA Phase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7200"/>
          </w:tcPr>
          <w:p>
            <w:r>
              <w:t>ConnectSphere Trust &amp; Safety Operations Intelligence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7200"/>
          </w:tcPr>
          <w:p>
            <w:r>
              <w:t>1.0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200"/>
          </w:tcPr>
          <w:p>
            <w:r>
              <w:t>Draft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7200"/>
          </w:tcPr>
          <w:p>
            <w:r>
              <w:t>Tushar Mehta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7200"/>
          </w:tcPr>
          <w:p>
            <w:r>
              <w:t>QA Manager / Project Sponsor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Approval Date</w:t>
            </w:r>
          </w:p>
        </w:tc>
        <w:tc>
          <w:tcPr>
            <w:tcW w:type="dxa" w:w="7200"/>
          </w:tcPr>
          <w:p>
            <w:r>
              <w:t>08 July 2026</w:t>
            </w:r>
          </w:p>
        </w:tc>
      </w:tr>
    </w:tbl>
    <w:p/>
    <w:p>
      <w:pPr>
        <w:pStyle w:val="Heading2"/>
      </w:pPr>
      <w:r>
        <w:t>Pain Point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1152"/>
            <w:shd w:fill="003366"/>
          </w:tcPr>
          <w:p>
            <w:r>
              <w:rPr>
                <w:b/>
                <w:color w:val="FFFFFF"/>
              </w:rPr>
              <w:t>PP ID</w:t>
            </w:r>
          </w:p>
        </w:tc>
        <w:tc>
          <w:tcPr>
            <w:tcW w:type="dxa" w:w="5040"/>
            <w:shd w:fill="003366"/>
          </w:tcPr>
          <w:p>
            <w:r>
              <w:rPr>
                <w:b/>
                <w:color w:val="FFFFFF"/>
              </w:rPr>
              <w:t>Pain Point Description</w:t>
            </w:r>
          </w:p>
        </w:tc>
        <w:tc>
          <w:tcPr>
            <w:tcW w:type="dxa" w:w="1152"/>
            <w:shd w:fill="003366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Affected Depts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Proposed Solution / Target BR</w:t>
            </w:r>
          </w:p>
        </w:tc>
      </w:tr>
      <w:tr>
        <w:tc>
          <w:tcPr>
            <w:tcW w:type="dxa" w:w="1152"/>
          </w:tcPr>
          <w:p>
            <w:r>
              <w:t>PP-005</w:t>
            </w:r>
          </w:p>
        </w:tc>
        <w:tc>
          <w:tcPr>
            <w:tcW w:type="dxa" w:w="5040"/>
          </w:tcPr>
          <w:p>
            <w:r>
              <w:t>Internal QA and Client QA reports are maintained separately with no consolidated view.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QA, Leadership</w:t>
            </w:r>
          </w:p>
        </w:tc>
        <w:tc>
          <w:tcPr>
            <w:tcW w:type="dxa" w:w="4320"/>
          </w:tcPr>
          <w:p>
            <w:r>
              <w:t>Develop a Consolidated Quality Dashboard (BR-034, BR-030).</w:t>
            </w:r>
          </w:p>
        </w:tc>
      </w:tr>
      <w:tr>
        <w:tc>
          <w:tcPr>
            <w:tcW w:type="dxa" w:w="1152"/>
          </w:tcPr>
          <w:p>
            <w:r>
              <w:t>PP-006</w:t>
            </w:r>
          </w:p>
        </w:tc>
        <w:tc>
          <w:tcPr>
            <w:tcW w:type="dxa" w:w="5040"/>
          </w:tcPr>
          <w:p>
            <w:r>
              <w:t>Cannot correlate whether low productivity is causing low quality due to siloed data.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QA, WFM, Ops</w:t>
            </w:r>
          </w:p>
        </w:tc>
        <w:tc>
          <w:tcPr>
            <w:tcW w:type="dxa" w:w="4320"/>
          </w:tcPr>
          <w:p>
            <w:r>
              <w:t>Create cross-functional Correlation Dashboard merging AHT/Occupancy with QA Scores (BR-035).</w:t>
            </w:r>
          </w:p>
        </w:tc>
      </w:tr>
      <w:tr>
        <w:tc>
          <w:tcPr>
            <w:tcW w:type="dxa" w:w="1152"/>
          </w:tcPr>
          <w:p>
            <w:r>
              <w:t>PP-007</w:t>
            </w:r>
          </w:p>
        </w:tc>
        <w:tc>
          <w:tcPr>
            <w:tcW w:type="dxa" w:w="5040"/>
          </w:tcPr>
          <w:p>
            <w:r>
              <w:t>Coaching reports are manual; leadership cannot measure if coaching improves quality.</w:t>
            </w:r>
          </w:p>
        </w:tc>
        <w:tc>
          <w:tcPr>
            <w:tcW w:type="dxa" w:w="1152"/>
          </w:tcPr>
          <w:p>
            <w:r>
              <w:t>Medium-High</w:t>
            </w:r>
          </w:p>
        </w:tc>
        <w:tc>
          <w:tcPr>
            <w:tcW w:type="dxa" w:w="2160"/>
          </w:tcPr>
          <w:p>
            <w:r>
              <w:t>QA, Ops</w:t>
            </w:r>
          </w:p>
        </w:tc>
        <w:tc>
          <w:tcPr>
            <w:tcW w:type="dxa" w:w="4320"/>
          </w:tcPr>
          <w:p>
            <w:r>
              <w:t>Build a Coaching Effectiveness Tracker linked to QA performance (BR-032, BR-036).</w:t>
            </w:r>
          </w:p>
        </w:tc>
      </w:tr>
      <w:tr>
        <w:tc>
          <w:tcPr>
            <w:tcW w:type="dxa" w:w="1152"/>
          </w:tcPr>
          <w:p>
            <w:r>
              <w:t>PP-008</w:t>
            </w:r>
          </w:p>
        </w:tc>
        <w:tc>
          <w:tcPr>
            <w:tcW w:type="dxa" w:w="5040"/>
          </w:tcPr>
          <w:p>
            <w:r>
              <w:t>Appeal trends are difficult to analyze; unknown which queues generate the highest appeal rate.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Implement Appeal Trends &amp; Queue Analysis views (BR-031, BR-037).</w:t>
            </w:r>
          </w:p>
        </w:tc>
      </w:tr>
      <w:tr>
        <w:tc>
          <w:tcPr>
            <w:tcW w:type="dxa" w:w="1152"/>
          </w:tcPr>
          <w:p>
            <w:r>
              <w:t>PP-009</w:t>
            </w:r>
          </w:p>
        </w:tc>
        <w:tc>
          <w:tcPr>
            <w:tcW w:type="dxa" w:w="5040"/>
          </w:tcPr>
          <w:p>
            <w:r>
              <w:t>Error categories are inconsistent between different reports.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QA, Client</w:t>
            </w:r>
          </w:p>
        </w:tc>
        <w:tc>
          <w:tcPr>
            <w:tcW w:type="dxa" w:w="4320"/>
          </w:tcPr>
          <w:p>
            <w:r>
              <w:t>Standardize Error Categorization Dictionary in the SQL Data Mart (BR-038).</w:t>
            </w:r>
          </w:p>
        </w:tc>
      </w:tr>
    </w:tbl>
    <w:sectPr w:rsidR="00FC693F" w:rsidRPr="0006063C" w:rsidSect="00034616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