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  <w:shd w:fill="F2F2F2"/>
          </w:tcPr>
          <w:p>
            <w:r>
              <w:rPr>
                <w:b/>
              </w:rPr>
              <w:t>Document Name</w:t>
            </w:r>
          </w:p>
        </w:tc>
        <w:tc>
          <w:tcPr>
            <w:tcW w:type="dxa" w:w="7200"/>
          </w:tcPr>
          <w:p>
            <w:r>
              <w:t>Pain Point Register</w:t>
            </w:r>
          </w:p>
        </w:tc>
      </w:tr>
      <w:tr>
        <w:tc>
          <w:tcPr>
            <w:tcW w:type="dxa" w:w="7200"/>
            <w:shd w:fill="F2F2F2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7200"/>
          </w:tcPr>
          <w:p>
            <w:r>
              <w:t>ConnectSphere Trust &amp; Safety Operations Intelligence</w:t>
            </w:r>
          </w:p>
        </w:tc>
      </w:tr>
      <w:tr>
        <w:tc>
          <w:tcPr>
            <w:tcW w:type="dxa" w:w="7200"/>
            <w:shd w:fill="F2F2F2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7200"/>
          </w:tcPr>
          <w:p>
            <w:r>
              <w:t>1.0</w:t>
            </w:r>
          </w:p>
        </w:tc>
      </w:tr>
      <w:tr>
        <w:tc>
          <w:tcPr>
            <w:tcW w:type="dxa" w:w="7200"/>
            <w:shd w:fill="F2F2F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200"/>
          </w:tcPr>
          <w:p>
            <w:r>
              <w:t>Draft</w:t>
            </w:r>
          </w:p>
        </w:tc>
      </w:tr>
      <w:tr>
        <w:tc>
          <w:tcPr>
            <w:tcW w:type="dxa" w:w="7200"/>
            <w:shd w:fill="F2F2F2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7200"/>
          </w:tcPr>
          <w:p>
            <w:r>
              <w:t>Tushar Mehta</w:t>
            </w:r>
          </w:p>
        </w:tc>
      </w:tr>
      <w:tr>
        <w:tc>
          <w:tcPr>
            <w:tcW w:type="dxa" w:w="7200"/>
            <w:shd w:fill="F2F2F2"/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7200"/>
          </w:tcPr>
          <w:p>
            <w:r>
              <w:t>Workforce Planning Manager / Project Sponsor</w:t>
            </w:r>
          </w:p>
        </w:tc>
      </w:tr>
      <w:tr>
        <w:tc>
          <w:tcPr>
            <w:tcW w:type="dxa" w:w="7200"/>
            <w:shd w:fill="F2F2F2"/>
          </w:tcPr>
          <w:p>
            <w:r>
              <w:rPr>
                <w:b/>
              </w:rPr>
              <w:t>Approval Date</w:t>
            </w:r>
          </w:p>
        </w:tc>
        <w:tc>
          <w:tcPr>
            <w:tcW w:type="dxa" w:w="7200"/>
          </w:tcPr>
          <w:p>
            <w:r>
              <w:t>08 July 2026</w:t>
            </w:r>
          </w:p>
        </w:tc>
      </w:tr>
    </w:tbl>
    <w:p/>
    <w:p>
      <w:pPr>
        <w:pStyle w:val="Heading2"/>
      </w:pPr>
      <w:r>
        <w:t>Pain Point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1152"/>
            <w:shd w:fill="003366"/>
          </w:tcPr>
          <w:p>
            <w:r>
              <w:rPr>
                <w:b/>
                <w:color w:val="FFFFFF"/>
              </w:rPr>
              <w:t>PP ID</w:t>
            </w:r>
          </w:p>
        </w:tc>
        <w:tc>
          <w:tcPr>
            <w:tcW w:type="dxa" w:w="5040"/>
            <w:shd w:fill="003366"/>
          </w:tcPr>
          <w:p>
            <w:r>
              <w:rPr>
                <w:b/>
                <w:color w:val="FFFFFF"/>
              </w:rPr>
              <w:t>Pain Point Description</w:t>
            </w:r>
          </w:p>
        </w:tc>
        <w:tc>
          <w:tcPr>
            <w:tcW w:type="dxa" w:w="1152"/>
            <w:shd w:fill="003366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Affected Depts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Proposed Solution / Target BR</w:t>
            </w:r>
          </w:p>
        </w:tc>
      </w:tr>
      <w:tr>
        <w:tc>
          <w:tcPr>
            <w:tcW w:type="dxa" w:w="1152"/>
          </w:tcPr>
          <w:p>
            <w:r>
              <w:t>PP-001</w:t>
            </w:r>
          </w:p>
        </w:tc>
        <w:tc>
          <w:tcPr>
            <w:tcW w:type="dxa" w:w="5040"/>
          </w:tcPr>
          <w:p>
            <w:r>
              <w:t>3 hours spent every morning combining reports from Ops, Attendance, Billing, Client Forecast, and QA.</w:t>
            </w:r>
          </w:p>
        </w:tc>
        <w:tc>
          <w:tcPr>
            <w:tcW w:type="dxa" w:w="1152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WFM, Ops</w:t>
            </w:r>
          </w:p>
        </w:tc>
        <w:tc>
          <w:tcPr>
            <w:tcW w:type="dxa" w:w="4320"/>
          </w:tcPr>
          <w:p>
            <w:r>
              <w:t>Automate data pipelines into a single SQL Data Mart (Fixes via BR-019).</w:t>
            </w:r>
          </w:p>
        </w:tc>
      </w:tr>
      <w:tr>
        <w:tc>
          <w:tcPr>
            <w:tcW w:type="dxa" w:w="1152"/>
          </w:tcPr>
          <w:p>
            <w:r>
              <w:t>PP-002</w:t>
            </w:r>
          </w:p>
        </w:tc>
        <w:tc>
          <w:tcPr>
            <w:tcW w:type="dxa" w:w="5040"/>
          </w:tcPr>
          <w:p>
            <w:r>
              <w:t>Inability to correlate Occupancy, QA, Productivity, Backlog, and SLA inside one dashboard.</w:t>
            </w:r>
          </w:p>
        </w:tc>
        <w:tc>
          <w:tcPr>
            <w:tcW w:type="dxa" w:w="1152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Leadership, WFM, QA</w:t>
            </w:r>
          </w:p>
        </w:tc>
        <w:tc>
          <w:tcPr>
            <w:tcW w:type="dxa" w:w="4320"/>
          </w:tcPr>
          <w:p>
            <w:r>
              <w:t>Develop unified Executive KPI Dashboard integrating multiple data sources (Fixes via BR-026).</w:t>
            </w:r>
          </w:p>
        </w:tc>
      </w:tr>
      <w:tr>
        <w:tc>
          <w:tcPr>
            <w:tcW w:type="dxa" w:w="1152"/>
          </w:tcPr>
          <w:p>
            <w:r>
              <w:t>PP-003</w:t>
            </w:r>
          </w:p>
        </w:tc>
        <w:tc>
          <w:tcPr>
            <w:tcW w:type="dxa" w:w="5040"/>
          </w:tcPr>
          <w:p>
            <w:r>
              <w:t>Weekly billing validation requires manual reconciliation between Attendance, Billable AUX, Productive Hours, and Mandays.</w:t>
            </w:r>
          </w:p>
        </w:tc>
        <w:tc>
          <w:tcPr>
            <w:tcW w:type="dxa" w:w="1152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WFM, Finance</w:t>
            </w:r>
          </w:p>
        </w:tc>
        <w:tc>
          <w:tcPr>
            <w:tcW w:type="dxa" w:w="4320"/>
          </w:tcPr>
          <w:p>
            <w:r>
              <w:t>Create automated Billable Hours and Mandays Tracker (Fixes via BR-022, BR-023).</w:t>
            </w:r>
          </w:p>
        </w:tc>
      </w:tr>
      <w:tr>
        <w:tc>
          <w:tcPr>
            <w:tcW w:type="dxa" w:w="1152"/>
          </w:tcPr>
          <w:p>
            <w:r>
              <w:t>PP-004</w:t>
            </w:r>
          </w:p>
        </w:tc>
        <w:tc>
          <w:tcPr>
            <w:tcW w:type="dxa" w:w="5040"/>
          </w:tcPr>
          <w:p>
            <w:r>
              <w:t>Lack of visibility on capacity forecasting; leadership cannot quickly answer 'Should we hire?'.</w:t>
            </w:r>
          </w:p>
        </w:tc>
        <w:tc>
          <w:tcPr>
            <w:tcW w:type="dxa" w:w="1152"/>
          </w:tcPr>
          <w:p>
            <w:r>
              <w:t>Medium-High</w:t>
            </w:r>
          </w:p>
        </w:tc>
        <w:tc>
          <w:tcPr>
            <w:tcW w:type="dxa" w:w="2160"/>
          </w:tcPr>
          <w:p>
            <w:r>
              <w:t>Executive, WFM</w:t>
            </w:r>
          </w:p>
        </w:tc>
        <w:tc>
          <w:tcPr>
            <w:tcW w:type="dxa" w:w="4320"/>
          </w:tcPr>
          <w:p>
            <w:r>
              <w:t>Deploy Staffing Capacity &amp; Predictive Hiring Dashboard (Fixes via BR-024, BR-027).</w:t>
            </w:r>
          </w:p>
        </w:tc>
      </w:tr>
    </w:tbl>
    <w:sectPr w:rsidR="00FC693F" w:rsidRPr="0006063C" w:rsidSect="00034616">
      <w:pgSz w:w="15840" w:h="12240" w:orient="landscape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