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Data Warehouse Architecture</w:t>
      </w:r>
    </w:p>
    <w:p/>
    <w:p>
      <w:pPr>
        <w:pStyle w:val="Heading1"/>
      </w:pPr>
      <w:r>
        <w:t>Section 1 – 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>
              <w:t>ConnectSphere Trust &amp; Safety Operations Intelligence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4320"/>
          </w:tcPr>
          <w:p>
            <w:r>
              <w:t>Tushar Mehta – Business Analyst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14 July 2026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4320"/>
          </w:tcPr>
          <w:p>
            <w:r>
              <w:t>To define the enterprise data model and Bus Architecture for cross-functional reporting.</w:t>
            </w:r>
          </w:p>
        </w:tc>
      </w:tr>
      <w:tr>
        <w:tc>
          <w:tcPr>
            <w:tcW w:type="dxa" w:w="4320"/>
            <w:shd w:fill="F2F2F2"/>
          </w:tcPr>
          <w:p>
            <w:r>
              <w:rPr>
                <w:b/>
              </w:rPr>
              <w:t>Stakeholders</w:t>
            </w:r>
          </w:p>
        </w:tc>
        <w:tc>
          <w:tcPr>
            <w:tcW w:type="dxa" w:w="4320"/>
          </w:tcPr>
          <w:p>
            <w:r>
              <w:t>Product Owner, Ops Director, QA Manager, WFM Manager, Finance Director</w:t>
            </w:r>
          </w:p>
        </w:tc>
      </w:tr>
    </w:tbl>
    <w:p/>
    <w:p>
      <w:pPr>
        <w:pStyle w:val="Heading1"/>
      </w:pPr>
      <w:r>
        <w:t>Section 2 – What is a Bus Matrix?</w:t>
      </w:r>
    </w:p>
    <w:p>
      <w:r>
        <w:t>Definition: The Kimball Enterprise Bus Matrix is a high-level architectural document that maps organizational business processes (Fact Tables) to standard, shared master data entities (Conformed Dimensions).</w:t>
      </w:r>
    </w:p>
    <w:p>
      <w:pPr>
        <w:pStyle w:val="ListBullet"/>
      </w:pPr>
      <w:r>
        <w:t>Why it is used: It serves as the blueprint for an Enterprise Data Warehouse, ensuring that distinct data marts are built in an integrated, scalable manner rather than operating as isolated data silos.</w:t>
      </w:r>
    </w:p>
    <w:p>
      <w:pPr>
        <w:pStyle w:val="ListBullet"/>
      </w:pPr>
      <w:r>
        <w:t>Benefits: It enables seamless drill-across reporting, ensures a 'Single Source of Truth', and reduces ETL redundancy.</w:t>
      </w:r>
    </w:p>
    <w:p>
      <w:pPr>
        <w:pStyle w:val="ListBullet"/>
      </w:pPr>
      <w:r>
        <w:t>When it is created: During the requirement analysis and logical modeling phases, immediately following business process elicitation.</w:t>
      </w:r>
    </w:p>
    <w:p>
      <w:pPr>
        <w:pStyle w:val="ListBullet"/>
      </w:pPr>
      <w:r>
        <w:t>Difference from ER Diagram: An ER diagram shows the physical/logical keys and relationships of tables. The Bus Matrix shows the strategic intersection of processes and dimensions.</w:t>
      </w:r>
    </w:p>
    <w:p>
      <w:pPr>
        <w:pStyle w:val="ListBullet"/>
      </w:pPr>
      <w:r>
        <w:t>Difference from Star Schema: A Star Schema represents the physical layout of one specific business process. The Bus Matrix represents the entire enterprise of multiple Star Schemas.</w:t>
      </w:r>
    </w:p>
    <w:p>
      <w:pPr>
        <w:pStyle w:val="Heading1"/>
      </w:pPr>
      <w:r>
        <w:t>Section 3 – Business Processes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Business Process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Core transactional lifecycle of content moderation.</w:t>
            </w:r>
          </w:p>
        </w:tc>
        <w:tc>
          <w:tcPr>
            <w:tcW w:type="dxa" w:w="2880"/>
          </w:tcPr>
          <w:p>
            <w:r>
              <w:t>Fact_Operations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Outcome of quality assurance audits.</w:t>
            </w:r>
          </w:p>
        </w:tc>
        <w:tc>
          <w:tcPr>
            <w:tcW w:type="dxa" w:w="2880"/>
          </w:tcPr>
          <w:p>
            <w:r>
              <w:t>Fact_QA</w:t>
            </w:r>
          </w:p>
        </w:tc>
      </w:tr>
      <w:tr>
        <w:tc>
          <w:tcPr>
            <w:tcW w:type="dxa" w:w="2880"/>
          </w:tcPr>
          <w:p>
            <w:r>
              <w:t>Workforce</w:t>
            </w:r>
          </w:p>
        </w:tc>
        <w:tc>
          <w:tcPr>
            <w:tcW w:type="dxa" w:w="2880"/>
          </w:tcPr>
          <w:p>
            <w:r>
              <w:t>Employee states, schedule adherence, and productive intervals.</w:t>
            </w:r>
          </w:p>
        </w:tc>
        <w:tc>
          <w:tcPr>
            <w:tcW w:type="dxa" w:w="2880"/>
          </w:tcPr>
          <w:p>
            <w:r>
              <w:t>Fact_Workforce</w:t>
            </w:r>
          </w:p>
        </w:tc>
      </w:tr>
      <w:tr>
        <w:tc>
          <w:tcPr>
            <w:tcW w:type="dxa" w:w="2880"/>
          </w:tcPr>
          <w:p>
            <w:r>
              <w:t>Appeals</w:t>
            </w:r>
          </w:p>
        </w:tc>
        <w:tc>
          <w:tcPr>
            <w:tcW w:type="dxa" w:w="2880"/>
          </w:tcPr>
          <w:p>
            <w:r>
              <w:t>Workflow of content decisions disputed by users/clients.</w:t>
            </w:r>
          </w:p>
        </w:tc>
        <w:tc>
          <w:tcPr>
            <w:tcW w:type="dxa" w:w="2880"/>
          </w:tcPr>
          <w:p>
            <w:r>
              <w:t>Fact_Appeals</w:t>
            </w:r>
          </w:p>
        </w:tc>
      </w:tr>
      <w:tr>
        <w:tc>
          <w:tcPr>
            <w:tcW w:type="dxa" w:w="2880"/>
          </w:tcPr>
          <w:p>
            <w:r>
              <w:t>Coaching</w:t>
            </w:r>
          </w:p>
        </w:tc>
        <w:tc>
          <w:tcPr>
            <w:tcW w:type="dxa" w:w="2880"/>
          </w:tcPr>
          <w:p>
            <w:r>
              <w:t>Coaching interventions performed by managers.</w:t>
            </w:r>
          </w:p>
        </w:tc>
        <w:tc>
          <w:tcPr>
            <w:tcW w:type="dxa" w:w="2880"/>
          </w:tcPr>
          <w:p>
            <w:r>
              <w:t>Fact_Coaching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Aggregates workforce/ops data for billable revenue.</w:t>
            </w:r>
          </w:p>
        </w:tc>
        <w:tc>
          <w:tcPr>
            <w:tcW w:type="dxa" w:w="2880"/>
          </w:tcPr>
          <w:p>
            <w:r>
              <w:t>Fact_Finance</w:t>
            </w:r>
          </w:p>
        </w:tc>
      </w:tr>
    </w:tbl>
    <w:p/>
    <w:p>
      <w:pPr>
        <w:pStyle w:val="Heading1"/>
      </w:pPr>
      <w:r>
        <w:t>Section 4 – Conformed Dimensions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4320"/>
            <w:shd w:fill="003366"/>
          </w:tcPr>
          <w:p>
            <w:r>
              <w:rPr>
                <w:b/>
                <w:color w:val="FFFFFF"/>
              </w:rPr>
              <w:t>Why Shared?</w:t>
            </w:r>
          </w:p>
        </w:tc>
      </w:tr>
      <w:tr>
        <w:tc>
          <w:tcPr>
            <w:tcW w:type="dxa" w:w="4320"/>
          </w:tcPr>
          <w:p>
            <w:r>
              <w:t>Dim_Date &amp; Dim_Time</w:t>
            </w:r>
          </w:p>
        </w:tc>
        <w:tc>
          <w:tcPr>
            <w:tcW w:type="dxa" w:w="4320"/>
          </w:tcPr>
          <w:p>
            <w:r>
              <w:t>Required by all departments for time-series analysis and interval tracking.</w:t>
            </w:r>
          </w:p>
        </w:tc>
      </w:tr>
      <w:tr>
        <w:tc>
          <w:tcPr>
            <w:tcW w:type="dxa" w:w="4320"/>
          </w:tcPr>
          <w:p>
            <w:r>
              <w:t>Dim_Employee / Team / Manager</w:t>
            </w:r>
          </w:p>
        </w:tc>
        <w:tc>
          <w:tcPr>
            <w:tcW w:type="dxa" w:w="4320"/>
          </w:tcPr>
          <w:p>
            <w:r>
              <w:t>Core hierarchy mapping workforce performance across Ops, QA, and Finance. Renamed from Agent for broader enterprise applicability.</w:t>
            </w:r>
          </w:p>
        </w:tc>
      </w:tr>
      <w:tr>
        <w:tc>
          <w:tcPr>
            <w:tcW w:type="dxa" w:w="4320"/>
          </w:tcPr>
          <w:p>
            <w:r>
              <w:t>Dim_Site</w:t>
            </w:r>
          </w:p>
        </w:tc>
        <w:tc>
          <w:tcPr>
            <w:tcW w:type="dxa" w:w="4320"/>
          </w:tcPr>
          <w:p>
            <w:r>
              <w:t>Tracks the physical or virtual delivery center (e.g., Manila, Indore, Remote) to align with standard BPO definitions.</w:t>
            </w:r>
          </w:p>
        </w:tc>
      </w:tr>
      <w:tr>
        <w:tc>
          <w:tcPr>
            <w:tcW w:type="dxa" w:w="4320"/>
          </w:tcPr>
          <w:p>
            <w:r>
              <w:t>Dim_Client</w:t>
            </w:r>
          </w:p>
        </w:tc>
        <w:tc>
          <w:tcPr>
            <w:tcW w:type="dxa" w:w="4320"/>
          </w:tcPr>
          <w:p>
            <w:r>
              <w:t>Essential for multi-tenant reporting, SLA tracking, and invoice generation.</w:t>
            </w:r>
          </w:p>
        </w:tc>
      </w:tr>
      <w:tr>
        <w:tc>
          <w:tcPr>
            <w:tcW w:type="dxa" w:w="4320"/>
          </w:tcPr>
          <w:p>
            <w:r>
              <w:t>Dim_Process</w:t>
            </w:r>
          </w:p>
        </w:tc>
        <w:tc>
          <w:tcPr>
            <w:tcW w:type="dxa" w:w="4320"/>
          </w:tcPr>
          <w:p>
            <w:r>
              <w:t>Allows filtering dashboards by the specific Trust &amp; Safety workflow (e.g., ATO vs. Moderation).</w:t>
            </w:r>
          </w:p>
        </w:tc>
      </w:tr>
      <w:tr>
        <w:tc>
          <w:tcPr>
            <w:tcW w:type="dxa" w:w="4320"/>
          </w:tcPr>
          <w:p>
            <w:r>
              <w:t>Dim_Policy</w:t>
            </w:r>
          </w:p>
        </w:tc>
        <w:tc>
          <w:tcPr>
            <w:tcW w:type="dxa" w:w="4320"/>
          </w:tcPr>
          <w:p>
            <w:r>
              <w:t>Separated from Case to independently track policy versions, categories, and effective dates for historical accuracy.</w:t>
            </w:r>
          </w:p>
        </w:tc>
      </w:tr>
      <w:tr>
        <w:tc>
          <w:tcPr>
            <w:tcW w:type="dxa" w:w="4320"/>
          </w:tcPr>
          <w:p>
            <w:r>
              <w:t>Dim_Content_Type</w:t>
            </w:r>
          </w:p>
        </w:tc>
        <w:tc>
          <w:tcPr>
            <w:tcW w:type="dxa" w:w="4320"/>
          </w:tcPr>
          <w:p>
            <w:r>
              <w:t>Categorizes the media format (e.g., Image, Video, Live Stream) to future-proof Trust &amp; Safety reporting capabilities.</w:t>
            </w:r>
          </w:p>
        </w:tc>
      </w:tr>
      <w:tr>
        <w:tc>
          <w:tcPr>
            <w:tcW w:type="dxa" w:w="4320"/>
          </w:tcPr>
          <w:p>
            <w:r>
              <w:t>Dim_Case</w:t>
            </w:r>
          </w:p>
        </w:tc>
        <w:tc>
          <w:tcPr>
            <w:tcW w:type="dxa" w:w="4320"/>
          </w:tcPr>
          <w:p>
            <w:r>
              <w:t>Provides the core content payload ID shared across original review, QA audit, and Appeals.</w:t>
            </w:r>
          </w:p>
        </w:tc>
      </w:tr>
      <w:tr>
        <w:tc>
          <w:tcPr>
            <w:tcW w:type="dxa" w:w="4320"/>
          </w:tcPr>
          <w:p>
            <w:r>
              <w:t>Dim_Reason_Code</w:t>
            </w:r>
          </w:p>
        </w:tc>
        <w:tc>
          <w:tcPr>
            <w:tcW w:type="dxa" w:w="4320"/>
          </w:tcPr>
          <w:p>
            <w:r>
              <w:t>Standardized master list mapping operational violations, QA defects, and coaching topics.</w:t>
            </w:r>
          </w:p>
        </w:tc>
      </w:tr>
    </w:tbl>
    <w:p/>
    <w:p>
      <w:pPr>
        <w:pStyle w:val="Heading1"/>
      </w:pPr>
      <w:r>
        <w:t>Section 5 – Enterprise Bus Matrix</w:t>
      </w:r>
    </w:p>
    <w:p>
      <w:r>
        <w:t>See attached Excel artifact (Comprehensive_Bus_Matrix_v2.1.xlsx) for the full interactive matrix, including Grain, Type, and Ownership mapping.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Fact Process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Employee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Site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Policy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Content Type</w:t>
            </w:r>
          </w:p>
        </w:tc>
        <w:tc>
          <w:tcPr>
            <w:tcW w:type="dxa" w:w="1234"/>
            <w:shd w:fill="003366"/>
          </w:tcPr>
          <w:p>
            <w:r>
              <w:rPr>
                <w:b/>
                <w:color w:val="FFFFFF"/>
                <w:sz w:val="16"/>
              </w:rPr>
              <w:t>Reason Code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Fact_Operations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Fact_QA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Fact_Workforce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Fact_Appeals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Fact_Coaching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Fact_Finance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  <w:t>✔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Section 6 &amp; 7 – Source Systems &amp; Refresh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Fact Table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Source System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ETL Method</w:t>
            </w:r>
          </w:p>
        </w:tc>
        <w:tc>
          <w:tcPr>
            <w:tcW w:type="dxa" w:w="2160"/>
            <w:shd w:fill="003366"/>
          </w:tcPr>
          <w:p>
            <w:r>
              <w:rPr>
                <w:b/>
                <w:color w:val="FFFFFF"/>
              </w:rPr>
              <w:t>Refresh Strategy</w:t>
            </w:r>
          </w:p>
        </w:tc>
      </w:tr>
      <w:tr>
        <w:tc>
          <w:tcPr>
            <w:tcW w:type="dxa" w:w="2160"/>
          </w:tcPr>
          <w:p>
            <w:r>
              <w:t>Fact_Operations</w:t>
            </w:r>
          </w:p>
        </w:tc>
        <w:tc>
          <w:tcPr>
            <w:tcW w:type="dxa" w:w="2160"/>
          </w:tcPr>
          <w:p>
            <w:r>
              <w:t>Case Management System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</w:tr>
      <w:tr>
        <w:tc>
          <w:tcPr>
            <w:tcW w:type="dxa" w:w="2160"/>
          </w:tcPr>
          <w:p>
            <w:r>
              <w:t>Fact_QA</w:t>
            </w:r>
          </w:p>
        </w:tc>
        <w:tc>
          <w:tcPr>
            <w:tcW w:type="dxa" w:w="2160"/>
          </w:tcPr>
          <w:p>
            <w:r>
              <w:t>QA Tool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Fact_Workforce</w:t>
            </w:r>
          </w:p>
        </w:tc>
        <w:tc>
          <w:tcPr>
            <w:tcW w:type="dxa" w:w="2160"/>
          </w:tcPr>
          <w:p>
            <w:r>
              <w:t>WFM Application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Hourly</w:t>
            </w:r>
          </w:p>
        </w:tc>
      </w:tr>
      <w:tr>
        <w:tc>
          <w:tcPr>
            <w:tcW w:type="dxa" w:w="2160"/>
          </w:tcPr>
          <w:p>
            <w:r>
              <w:t>Fact_Appeals</w:t>
            </w:r>
          </w:p>
        </w:tc>
        <w:tc>
          <w:tcPr>
            <w:tcW w:type="dxa" w:w="2160"/>
          </w:tcPr>
          <w:p>
            <w:r>
              <w:t>Appeals System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Fact_Coaching</w:t>
            </w:r>
          </w:p>
        </w:tc>
        <w:tc>
          <w:tcPr>
            <w:tcW w:type="dxa" w:w="2160"/>
          </w:tcPr>
          <w:p>
            <w:r>
              <w:t>LMS / Coaching Tool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Daily</w:t>
            </w:r>
          </w:p>
        </w:tc>
      </w:tr>
      <w:tr>
        <w:tc>
          <w:tcPr>
            <w:tcW w:type="dxa" w:w="2160"/>
          </w:tcPr>
          <w:p>
            <w:r>
              <w:t>Fact_Finance</w:t>
            </w:r>
          </w:p>
        </w:tc>
        <w:tc>
          <w:tcPr>
            <w:tcW w:type="dxa" w:w="2160"/>
          </w:tcPr>
          <w:p>
            <w:r>
              <w:t>Finance / Billing System</w:t>
            </w:r>
          </w:p>
        </w:tc>
        <w:tc>
          <w:tcPr>
            <w:tcW w:type="dxa" w:w="2160"/>
          </w:tcPr>
          <w:p>
            <w:r>
              <w:t>SQL Server Integration Services (SSIS) / Data Factory</w:t>
            </w:r>
          </w:p>
        </w:tc>
        <w:tc>
          <w:tcPr>
            <w:tcW w:type="dxa" w:w="2160"/>
          </w:tcPr>
          <w:p>
            <w:r>
              <w:t>Weekly</w:t>
            </w:r>
          </w:p>
        </w:tc>
      </w:tr>
    </w:tbl>
    <w:p/>
    <w:p>
      <w:pPr>
        <w:pStyle w:val="Heading1"/>
      </w:pPr>
      <w:r>
        <w:t>Section 8 – Design Decisions</w:t>
      </w:r>
    </w:p>
    <w:p>
      <w:pPr>
        <w:pStyle w:val="ListBullet"/>
      </w:pPr>
      <w:r>
        <w:t>Fact_Operations is modeled as a Transaction Fact because the business requires visibility into individual employee actions (clicks/decisions) for accurate AHT calculation.</w:t>
      </w:r>
    </w:p>
    <w:p>
      <w:pPr>
        <w:pStyle w:val="ListBullet"/>
      </w:pPr>
      <w:r>
        <w:t>Fact_Workforce is a Periodic Snapshot because employee status changes dynamically; querying a daily snapshot at fixed intervals ensures consistent Occupancy and Shrinkage metrics.</w:t>
      </w:r>
    </w:p>
    <w:p>
      <w:pPr>
        <w:pStyle w:val="ListBullet"/>
      </w:pPr>
      <w:r>
        <w:t>Fact_Appeals is an Accumulating Snapshot because the appeals process involves distinct lifecycle milestones (Submission &gt; Review &gt; Final Decision) and requires SLA tracking between phases.</w:t>
      </w:r>
    </w:p>
    <w:p>
      <w:pPr>
        <w:pStyle w:val="ListBullet"/>
      </w:pPr>
      <w:r>
        <w:t>Dim_Policy is modeled as a distinct dimension separated from Dim_Case to enable independent version control (SCD Type 2) when content moderation rules are updated.</w:t>
      </w:r>
    </w:p>
    <w:p>
      <w:pPr>
        <w:pStyle w:val="ListBullet"/>
      </w:pPr>
      <w:r>
        <w:t>Dim_Employee handles workforce transfers via SCD Type 2, ensuring historical QA scores and Operational throughput remain tied to the correct manager/team at the time the work was performed.</w:t>
      </w:r>
    </w:p>
    <w:p>
      <w:pPr>
        <w:pStyle w:val="Heading1"/>
      </w:pPr>
      <w:r>
        <w:t>Section 9 – Business Assumptions</w:t>
      </w:r>
    </w:p>
    <w:p>
      <w:pPr>
        <w:pStyle w:val="ListBullet"/>
      </w:pPr>
      <w:r>
        <w:t>One operational review belongs strictly to one client contract at the time of processing.</w:t>
      </w:r>
    </w:p>
    <w:p>
      <w:pPr>
        <w:pStyle w:val="ListBullet"/>
      </w:pPr>
      <w:r>
        <w:t>One case is evaluated against a primary policy version (Dim_Policy) that is actively effective at the time of the review.</w:t>
      </w:r>
    </w:p>
    <w:p>
      <w:pPr>
        <w:pStyle w:val="ListBullet"/>
      </w:pPr>
      <w:r>
        <w:t>An employee belongs to exactly one Manager and one Team at any specific point in time.</w:t>
      </w:r>
    </w:p>
    <w:p>
      <w:pPr>
        <w:pStyle w:val="ListBullet"/>
      </w:pPr>
      <w:r>
        <w:t>Data exports from the Core Case Management tool will include standardized system timestamps (UTC) for ETL interval processing.</w:t>
      </w:r>
    </w:p>
    <w:p>
      <w:pPr>
        <w:pStyle w:val="Heading1"/>
      </w:pPr>
      <w:r>
        <w:t>Section 10 – BA Notes &amp; Observations</w:t>
      </w:r>
    </w:p>
    <w:p>
      <w:pPr>
        <w:pStyle w:val="Heading3"/>
      </w:pPr>
      <w:r>
        <w:t>Core Business Questions Answered:</w:t>
      </w:r>
    </w:p>
    <w:p>
      <w:pPr>
        <w:pStyle w:val="ListBullet"/>
      </w:pPr>
      <w:r>
        <w:t>Does high Occupancy (WFM) correlate directly with an increase in Fatal QA Errors (QA)?</w:t>
      </w:r>
    </w:p>
    <w:p>
      <w:pPr>
        <w:pStyle w:val="ListBullet"/>
      </w:pPr>
      <w:r>
        <w:t>Which Reason Codes result in the highest Revenue Leakage (Finance) across different Sites (Dim_Site)?</w:t>
      </w:r>
    </w:p>
    <w:p>
      <w:pPr>
        <w:pStyle w:val="ListBullet"/>
      </w:pPr>
      <w:r>
        <w:t>How do SLA elapsed times differ based on Content Type (e.g., Live Stream vs Text)?</w:t>
      </w:r>
    </w:p>
    <w:p>
      <w:pPr>
        <w:pStyle w:val="Heading3"/>
      </w:pPr>
      <w:r>
        <w:t>Validation &amp; Next Steps:</w:t>
      </w:r>
    </w:p>
    <w:p>
      <w:pPr>
        <w:pStyle w:val="ListBullet"/>
      </w:pPr>
      <w:r>
        <w:t>Validated by: Operations Director and Product Owner during July scoping session.</w:t>
      </w:r>
    </w:p>
    <w:p>
      <w:pPr>
        <w:pStyle w:val="ListBullet"/>
      </w:pPr>
      <w:r>
        <w:t>Open Question: Should Dim_Client track billing tiers, or should that remain exclusive to the Finance Source System?</w:t>
      </w:r>
    </w:p>
    <w:p>
      <w:pPr>
        <w:pStyle w:val="ListBullet"/>
      </w:pPr>
      <w:r>
        <w:t>Future Enhancements: AI-driven Forecasting (Fact_Forecast) will be integrated in Phase 2, relying on Dim_Date and Dim_Process.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