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PROJECT DOCUMENT</w:t>
      </w:r>
    </w:p>
    <w:p>
      <w:pPr>
        <w:pStyle w:val="Heading1"/>
        <w:jc w:val="center"/>
      </w:pPr>
      <w:r>
        <w:t>TO-BE Solution Vision</w:t>
      </w:r>
    </w:p>
    <w:p/>
    <w:p>
      <w:pPr>
        <w:pStyle w:val="Heading2"/>
      </w:pPr>
      <w:r>
        <w:t>Document Control</w:t>
      </w:r>
    </w:p>
    <w:tbl>
      <w:tblPr>
        <w:tblStyle w:val="TableGrid"/>
        <w:tblW w:type="auto" w:w="0"/>
        <w:tblLook w:firstColumn="1" w:firstRow="1" w:lastColumn="0" w:lastRow="0" w:noHBand="0" w:noVBand="1" w:val="04A0"/>
      </w:tblPr>
      <w:tblGrid>
        <w:gridCol w:w="4320"/>
        <w:gridCol w:w="4320"/>
      </w:tblGrid>
      <w:tr>
        <w:tc>
          <w:tcPr>
            <w:tcW w:type="dxa" w:w="4320"/>
            <w:shd w:fill="F2F2F2"/>
          </w:tcPr>
          <w:p>
            <w:r>
              <w:rPr>
                <w:b/>
              </w:rPr>
              <w:t>Document Name</w:t>
            </w:r>
          </w:p>
        </w:tc>
        <w:tc>
          <w:tcPr>
            <w:tcW w:type="dxa" w:w="4320"/>
          </w:tcPr>
          <w:p>
            <w:r>
              <w:t>TO-BE Solution Vision</w:t>
            </w:r>
          </w:p>
        </w:tc>
      </w:tr>
      <w:tr>
        <w:tc>
          <w:tcPr>
            <w:tcW w:type="dxa" w:w="4320"/>
            <w:shd w:fill="F2F2F2"/>
          </w:tcPr>
          <w:p>
            <w:r>
              <w:rPr>
                <w:b/>
              </w:rPr>
              <w:t>Project Name</w:t>
            </w:r>
          </w:p>
        </w:tc>
        <w:tc>
          <w:tcPr>
            <w:tcW w:type="dxa" w:w="4320"/>
          </w:tcPr>
          <w:p>
            <w:r>
              <w:t>ConnectSphere Trust &amp; Safety Operations Intelligence</w:t>
            </w:r>
          </w:p>
        </w:tc>
      </w:tr>
      <w:tr>
        <w:tc>
          <w:tcPr>
            <w:tcW w:type="dxa" w:w="4320"/>
            <w:shd w:fill="F2F2F2"/>
          </w:tcPr>
          <w:p>
            <w:r>
              <w:rPr>
                <w:b/>
              </w:rPr>
              <w:t>Version</w:t>
            </w:r>
          </w:p>
        </w:tc>
        <w:tc>
          <w:tcPr>
            <w:tcW w:type="dxa" w:w="4320"/>
          </w:tcPr>
          <w:p>
            <w:r>
              <w:t>1.1</w:t>
            </w:r>
          </w:p>
        </w:tc>
      </w:tr>
      <w:tr>
        <w:tc>
          <w:tcPr>
            <w:tcW w:type="dxa" w:w="4320"/>
            <w:shd w:fill="F2F2F2"/>
          </w:tcPr>
          <w:p>
            <w:r>
              <w:rPr>
                <w:b/>
              </w:rPr>
              <w:t>Status</w:t>
            </w:r>
          </w:p>
        </w:tc>
        <w:tc>
          <w:tcPr>
            <w:tcW w:type="dxa" w:w="4320"/>
          </w:tcPr>
          <w:p>
            <w:r>
              <w:t>Draft</w:t>
            </w:r>
          </w:p>
        </w:tc>
      </w:tr>
      <w:tr>
        <w:tc>
          <w:tcPr>
            <w:tcW w:type="dxa" w:w="4320"/>
            <w:shd w:fill="F2F2F2"/>
          </w:tcPr>
          <w:p>
            <w:r>
              <w:rPr>
                <w:b/>
              </w:rPr>
              <w:t>Prepared By</w:t>
            </w:r>
          </w:p>
        </w:tc>
        <w:tc>
          <w:tcPr>
            <w:tcW w:type="dxa" w:w="4320"/>
          </w:tcPr>
          <w:p>
            <w:r>
              <w:t>Tushar Mehta – Business Analyst</w:t>
            </w:r>
          </w:p>
        </w:tc>
      </w:tr>
      <w:tr>
        <w:tc>
          <w:tcPr>
            <w:tcW w:type="dxa" w:w="4320"/>
            <w:shd w:fill="F2F2F2"/>
          </w:tcPr>
          <w:p>
            <w:r>
              <w:rPr>
                <w:b/>
              </w:rPr>
              <w:t>Reviewed By</w:t>
            </w:r>
          </w:p>
        </w:tc>
        <w:tc>
          <w:tcPr>
            <w:tcW w:type="dxa" w:w="4320"/>
          </w:tcPr>
          <w:p>
            <w:r>
              <w:t>Product Owner, Executive Leadership</w:t>
            </w:r>
          </w:p>
        </w:tc>
      </w:tr>
      <w:tr>
        <w:tc>
          <w:tcPr>
            <w:tcW w:type="dxa" w:w="4320"/>
            <w:shd w:fill="F2F2F2"/>
          </w:tcPr>
          <w:p>
            <w:r>
              <w:rPr>
                <w:b/>
              </w:rPr>
              <w:t>Approval Date</w:t>
            </w:r>
          </w:p>
        </w:tc>
        <w:tc>
          <w:tcPr>
            <w:tcW w:type="dxa" w:w="4320"/>
          </w:tcPr>
          <w:p>
            <w:r>
              <w:t>14 July 2026</w:t>
            </w:r>
          </w:p>
        </w:tc>
      </w:tr>
    </w:tbl>
    <w:p/>
    <w:p>
      <w:pPr>
        <w:pStyle w:val="Heading2"/>
      </w:pPr>
      <w:r>
        <w:t>Revision History</w:t>
      </w:r>
    </w:p>
    <w:tbl>
      <w:tblPr>
        <w:tblStyle w:val="TableGrid"/>
        <w:tblW w:type="auto" w:w="0"/>
        <w:jc w:val="left"/>
        <w:tblLayout w:type="fixed"/>
        <w:tblLook w:firstColumn="1" w:firstRow="1" w:lastColumn="0" w:lastRow="0" w:noHBand="0" w:noVBand="1" w:val="04A0"/>
      </w:tblPr>
      <w:tblGrid>
        <w:gridCol w:w="2160"/>
        <w:gridCol w:w="2160"/>
        <w:gridCol w:w="2160"/>
        <w:gridCol w:w="2160"/>
      </w:tblGrid>
      <w:tr>
        <w:tc>
          <w:tcPr>
            <w:tcW w:type="dxa" w:w="1152"/>
            <w:shd w:fill="003366"/>
          </w:tcPr>
          <w:p>
            <w:r>
              <w:rPr>
                <w:b/>
                <w:color w:val="FFFFFF"/>
              </w:rPr>
              <w:t>Version</w:t>
            </w:r>
          </w:p>
        </w:tc>
        <w:tc>
          <w:tcPr>
            <w:tcW w:type="dxa" w:w="1728"/>
            <w:shd w:fill="003366"/>
          </w:tcPr>
          <w:p>
            <w:r>
              <w:rPr>
                <w:b/>
                <w:color w:val="FFFFFF"/>
              </w:rPr>
              <w:t>Date</w:t>
            </w:r>
          </w:p>
        </w:tc>
        <w:tc>
          <w:tcPr>
            <w:tcW w:type="dxa" w:w="2160"/>
            <w:shd w:fill="003366"/>
          </w:tcPr>
          <w:p>
            <w:r>
              <w:rPr>
                <w:b/>
                <w:color w:val="FFFFFF"/>
              </w:rPr>
              <w:t>Author</w:t>
            </w:r>
          </w:p>
        </w:tc>
        <w:tc>
          <w:tcPr>
            <w:tcW w:type="dxa" w:w="4320"/>
            <w:shd w:fill="003366"/>
          </w:tcPr>
          <w:p>
            <w:r>
              <w:rPr>
                <w:b/>
                <w:color w:val="FFFFFF"/>
              </w:rPr>
              <w:t>Changes</w:t>
            </w:r>
          </w:p>
        </w:tc>
      </w:tr>
      <w:tr>
        <w:tc>
          <w:tcPr>
            <w:tcW w:type="dxa" w:w="1152"/>
          </w:tcPr>
          <w:p>
            <w:r>
              <w:t>1.0</w:t>
            </w:r>
          </w:p>
        </w:tc>
        <w:tc>
          <w:tcPr>
            <w:tcW w:type="dxa" w:w="1728"/>
          </w:tcPr>
          <w:p>
            <w:r>
              <w:t>14 Jul 2026</w:t>
            </w:r>
          </w:p>
        </w:tc>
        <w:tc>
          <w:tcPr>
            <w:tcW w:type="dxa" w:w="2160"/>
          </w:tcPr>
          <w:p>
            <w:r>
              <w:t>Tushar Mehta</w:t>
            </w:r>
          </w:p>
        </w:tc>
        <w:tc>
          <w:tcPr>
            <w:tcW w:type="dxa" w:w="4320"/>
          </w:tcPr>
          <w:p>
            <w:r>
              <w:t>Initial TO-BE Solution Vision</w:t>
            </w:r>
          </w:p>
        </w:tc>
      </w:tr>
      <w:tr>
        <w:tc>
          <w:tcPr>
            <w:tcW w:type="dxa" w:w="1152"/>
          </w:tcPr>
          <w:p>
            <w:r>
              <w:t>1.1</w:t>
            </w:r>
          </w:p>
        </w:tc>
        <w:tc>
          <w:tcPr>
            <w:tcW w:type="dxa" w:w="1728"/>
          </w:tcPr>
          <w:p>
            <w:r>
              <w:t>14 Jul 2026</w:t>
            </w:r>
          </w:p>
        </w:tc>
        <w:tc>
          <w:tcPr>
            <w:tcW w:type="dxa" w:w="2160"/>
          </w:tcPr>
          <w:p>
            <w:r>
              <w:t>Tushar Mehta</w:t>
            </w:r>
          </w:p>
        </w:tc>
        <w:tc>
          <w:tcPr>
            <w:tcW w:type="dxa" w:w="4320"/>
          </w:tcPr>
          <w:p>
            <w:r>
              <w:t>Added Assumptions, KPIs, Risks, Out of Scope, GenAI, and Design Principles</w:t>
            </w:r>
          </w:p>
        </w:tc>
      </w:tr>
    </w:tbl>
    <w:p/>
    <w:p>
      <w:pPr>
        <w:pStyle w:val="Heading2"/>
      </w:pPr>
      <w:r>
        <w:t>1. Purpose</w:t>
      </w:r>
    </w:p>
    <w:p>
      <w:r>
        <w:t>The purpose of this document is to outline the future state (TO-BE) vision for the ConnectSphere Trust &amp; Safety reporting ecosystem. It transitions the organization from a fragmented, manual reporting process into a centralized, automated, and scalable business intelligence architecture.</w:t>
      </w:r>
    </w:p>
    <w:p>
      <w:pPr>
        <w:pStyle w:val="Heading3"/>
      </w:pPr>
      <w:r>
        <w:t>1.1 Business Assumptions</w:t>
      </w:r>
    </w:p>
    <w:p>
      <w:pPr>
        <w:pStyle w:val="ListBullet"/>
      </w:pPr>
      <w:r>
        <w:t>Source systems will continue providing operational data through approved exports or integrations.</w:t>
      </w:r>
    </w:p>
    <w:p>
      <w:pPr>
        <w:pStyle w:val="ListBullet"/>
      </w:pPr>
      <w:r>
        <w:t>Departments will adopt standardized KPI definitions.</w:t>
      </w:r>
    </w:p>
    <w:p>
      <w:pPr>
        <w:pStyle w:val="ListBullet"/>
      </w:pPr>
      <w:r>
        <w:t>Leadership will use the centralized dashboard as the primary reporting source.</w:t>
      </w:r>
    </w:p>
    <w:p>
      <w:pPr>
        <w:pStyle w:val="ListBullet"/>
      </w:pPr>
      <w:r>
        <w:t>Historical operational data will be available for migration into the reporting platform.</w:t>
      </w:r>
    </w:p>
    <w:p>
      <w:pPr>
        <w:pStyle w:val="ListBullet"/>
      </w:pPr>
      <w:r>
        <w:t>Required access to operational, QA, WFM, and Finance data sources will be granted.</w:t>
      </w:r>
    </w:p>
    <w:p/>
    <w:p>
      <w:pPr>
        <w:pStyle w:val="Heading2"/>
      </w:pPr>
      <w:r>
        <w:t>2. Future State Vision Statement</w:t>
      </w:r>
    </w:p>
    <w:p>
      <w:r>
        <w:t>To empower Trust &amp; Safety leadership with a 'Single Source of Truth' by establishing an automated analytics platform that seamlessly correlates Operations, Workforce Management, Quality Assurance, and Financial data. This solution will eradicate manual reporting overhead, standardize global KPIs, and enable proactive, data-driven decision-making at all levels of the organization.</w:t>
      </w:r>
    </w:p>
    <w:p>
      <w:pPr>
        <w:pStyle w:val="Heading2"/>
      </w:pPr>
      <w:r>
        <w:t>3. Business Objectives</w:t>
      </w:r>
    </w:p>
    <w:p>
      <w:pPr>
        <w:pStyle w:val="ListBullet"/>
      </w:pPr>
      <w:r>
        <w:t>Centralize and automate end-to-end operational reporting.</w:t>
      </w:r>
    </w:p>
    <w:p>
      <w:pPr>
        <w:pStyle w:val="ListBullet"/>
      </w:pPr>
      <w:r>
        <w:t>Standardize KPI definitions and calculations across all departments.</w:t>
      </w:r>
    </w:p>
    <w:p>
      <w:pPr>
        <w:pStyle w:val="ListBullet"/>
      </w:pPr>
      <w:r>
        <w:t>Provide an integrated view of productivity, quality, capacity, and revenue.</w:t>
      </w:r>
    </w:p>
    <w:p>
      <w:pPr>
        <w:pStyle w:val="ListBullet"/>
      </w:pPr>
      <w:r>
        <w:t>Minimize reliance on manual Excel-based data consolidation and validation.</w:t>
      </w:r>
    </w:p>
    <w:p>
      <w:pPr>
        <w:pStyle w:val="ListBullet"/>
      </w:pPr>
      <w:r>
        <w:t>Deliver a scalable foundation that supports future AI-driven forecasting and predictive modeling.</w:t>
      </w:r>
    </w:p>
    <w:p/>
    <w:p>
      <w:pPr>
        <w:pStyle w:val="Heading2"/>
      </w:pPr>
      <w:r>
        <w:t>4. Expected Business Benefits</w:t>
      </w:r>
    </w:p>
    <w:p>
      <w:pPr>
        <w:pStyle w:val="ListBullet"/>
      </w:pPr>
      <w:r>
        <w:t>Efficiency: Reduces daily report preparation time from 3+ hours to under 30 minutes.</w:t>
      </w:r>
    </w:p>
    <w:p>
      <w:pPr>
        <w:pStyle w:val="ListBullet"/>
      </w:pPr>
      <w:r>
        <w:t>Accuracy: Eliminates human error in data merging and metric calculation.</w:t>
      </w:r>
    </w:p>
    <w:p>
      <w:pPr>
        <w:pStyle w:val="ListBullet"/>
      </w:pPr>
      <w:r>
        <w:t>Revenue Optimization: Actively identifies revenue leakage (e.g., mismapped billable AUX codes) for immediate remediation.</w:t>
      </w:r>
    </w:p>
    <w:p>
      <w:pPr>
        <w:pStyle w:val="ListBullet"/>
      </w:pPr>
      <w:r>
        <w:t>Strategic Insight: Enables cross-functional correlation (e.g., analyzing the direct impact of high occupancy on QA scores).</w:t>
      </w:r>
    </w:p>
    <w:p>
      <w:pPr>
        <w:pStyle w:val="ListBullet"/>
      </w:pPr>
      <w:r>
        <w:t>Agility: Provides leadership with near-real-time visibility into queue health and staffing capacity to make rapid intraday adjustments.</w:t>
      </w:r>
    </w:p>
    <w:p/>
    <w:p>
      <w:pPr>
        <w:pStyle w:val="Heading2"/>
      </w:pPr>
      <w:r>
        <w:t>5. High-Level Future Workflow</w:t>
      </w:r>
    </w:p>
    <w:p>
      <w:r>
        <w:t>The future state process will operate through a streamlined, automated pipeline:</w:t>
      </w:r>
    </w:p>
    <w:p>
      <w:pPr>
        <w:pStyle w:val="ListNumber"/>
      </w:pPr>
      <w:r>
        <w:t>Client Operational Platforms</w:t>
      </w:r>
    </w:p>
    <w:p>
      <w:pPr>
        <w:pStyle w:val="ListNumber"/>
      </w:pPr>
      <w:r>
        <w:t>Automated Data Extraction</w:t>
      </w:r>
    </w:p>
    <w:p>
      <w:pPr>
        <w:pStyle w:val="ListNumber"/>
      </w:pPr>
      <w:r>
        <w:t>Central SQL Data Mart</w:t>
      </w:r>
    </w:p>
    <w:p>
      <w:pPr>
        <w:pStyle w:val="ListNumber"/>
      </w:pPr>
      <w:r>
        <w:t>ETL Validation &amp; Business Rules</w:t>
      </w:r>
    </w:p>
    <w:p>
      <w:pPr>
        <w:pStyle w:val="ListNumber"/>
      </w:pPr>
      <w:r>
        <w:t>Standardized Reporting Tables</w:t>
      </w:r>
    </w:p>
    <w:p>
      <w:pPr>
        <w:pStyle w:val="ListNumber"/>
      </w:pPr>
      <w:r>
        <w:t>Power BI Semantic Model</w:t>
      </w:r>
    </w:p>
    <w:p>
      <w:pPr>
        <w:pStyle w:val="ListNumber"/>
      </w:pPr>
      <w:r>
        <w:t>Role-Based Dashboards</w:t>
      </w:r>
    </w:p>
    <w:p>
      <w:pPr>
        <w:pStyle w:val="ListNumber"/>
      </w:pPr>
      <w:r>
        <w:t>Leadership Decision Making</w:t>
      </w:r>
    </w:p>
    <w:p/>
    <w:p>
      <w:pPr>
        <w:pStyle w:val="Heading2"/>
      </w:pPr>
      <w:r>
        <w:t>6. Proposed Solution Architecture &amp; MVP Scope</w:t>
      </w:r>
    </w:p>
    <w:p>
      <w:r>
        <w:t>Based on the Product Owner scoping session, the TO-BE solution is constrained to an MVP (Version 1.0) rollout with specific technical boundaries.</w:t>
      </w:r>
    </w:p>
    <w:p>
      <w:pPr>
        <w:pStyle w:val="Heading3"/>
      </w:pPr>
      <w:r>
        <w:t>6.1 Technology Stack</w:t>
      </w:r>
    </w:p>
    <w:p>
      <w:pPr>
        <w:pStyle w:val="ListBullet"/>
      </w:pPr>
      <w:r>
        <w:t>Database: SQL Server / MySQL (Central Data Mart)</w:t>
      </w:r>
    </w:p>
    <w:p>
      <w:pPr>
        <w:pStyle w:val="ListBullet"/>
      </w:pPr>
      <w:r>
        <w:t>Visualization: Microsoft Power BI</w:t>
      </w:r>
    </w:p>
    <w:p>
      <w:pPr>
        <w:pStyle w:val="ListBullet"/>
      </w:pPr>
      <w:r>
        <w:t>Data Integration: Scheduled ETL Pipelines (replacing manual Excel merging)</w:t>
      </w:r>
    </w:p>
    <w:p>
      <w:pPr>
        <w:pStyle w:val="Heading3"/>
      </w:pPr>
      <w:r>
        <w:t>6.2 MVP Dashboard Deliverables</w:t>
      </w:r>
    </w:p>
    <w:p>
      <w:pPr>
        <w:pStyle w:val="ListBullet"/>
      </w:pPr>
      <w:r>
        <w:t>Operations: Centralized Ops Dashboard, Historical Trends, Executive Summary.</w:t>
      </w:r>
    </w:p>
    <w:p>
      <w:pPr>
        <w:pStyle w:val="ListBullet"/>
      </w:pPr>
      <w:r>
        <w:t>WFM: Occupancy, Shrinkage, Capacity, Forecast vs. Actuals.</w:t>
      </w:r>
    </w:p>
    <w:p>
      <w:pPr>
        <w:pStyle w:val="ListBullet"/>
      </w:pPr>
      <w:r>
        <w:t>QA: Performance tracking, Appeals, Coaching effectiveness.</w:t>
      </w:r>
    </w:p>
    <w:p>
      <w:pPr>
        <w:pStyle w:val="ListBullet"/>
      </w:pPr>
      <w:r>
        <w:t>Finance: Revenue realization, Invoice Summary, Billing Exception tracker.</w:t>
      </w:r>
    </w:p>
    <w:p>
      <w:pPr>
        <w:pStyle w:val="Heading3"/>
      </w:pPr>
      <w:r>
        <w:t>6.3 Out of Scope</w:t>
      </w:r>
    </w:p>
    <w:p>
      <w:pPr>
        <w:pStyle w:val="ListBullet"/>
      </w:pPr>
      <w:r>
        <w:t>Predictive Hiring (Deferred)</w:t>
      </w:r>
    </w:p>
    <w:p>
      <w:pPr>
        <w:pStyle w:val="ListBullet"/>
      </w:pPr>
      <w:r>
        <w:t>AI Forecasting</w:t>
      </w:r>
    </w:p>
    <w:p>
      <w:pPr>
        <w:pStyle w:val="ListBullet"/>
      </w:pPr>
      <w:r>
        <w:t>Revenue Leakage Alerts</w:t>
      </w:r>
    </w:p>
    <w:p>
      <w:pPr>
        <w:pStyle w:val="ListBullet"/>
      </w:pPr>
      <w:r>
        <w:t>Mobile Dashboard</w:t>
      </w:r>
    </w:p>
    <w:p>
      <w:pPr>
        <w:pStyle w:val="ListBullet"/>
      </w:pPr>
      <w:r>
        <w:t>External Vendor Integrations</w:t>
      </w:r>
    </w:p>
    <w:p/>
    <w:p>
      <w:pPr>
        <w:pStyle w:val="Heading2"/>
      </w:pPr>
      <w:r>
        <w:t>7. Future AI Enablement</w:t>
      </w:r>
    </w:p>
    <w:p>
      <w:r>
        <w:t>The proposed architecture will support future integration of Generative AI capabilities, including:</w:t>
      </w:r>
    </w:p>
    <w:p>
      <w:pPr>
        <w:pStyle w:val="ListBullet"/>
      </w:pPr>
      <w:r>
        <w:t>Natural language querying of operational dashboards.</w:t>
      </w:r>
    </w:p>
    <w:p>
      <w:pPr>
        <w:pStyle w:val="ListBullet"/>
      </w:pPr>
      <w:r>
        <w:t>Automated executive summaries.</w:t>
      </w:r>
    </w:p>
    <w:p>
      <w:pPr>
        <w:pStyle w:val="ListBullet"/>
      </w:pPr>
      <w:r>
        <w:t>KPI anomaly detection assistance.</w:t>
      </w:r>
    </w:p>
    <w:p>
      <w:pPr>
        <w:pStyle w:val="ListBullet"/>
      </w:pPr>
      <w:r>
        <w:t>Trend explanation and operational insights.</w:t>
      </w:r>
    </w:p>
    <w:p>
      <w:pPr>
        <w:pStyle w:val="ListBullet"/>
      </w:pPr>
      <w:r>
        <w:t>Conversational analytics for leadership.</w:t>
      </w:r>
    </w:p>
    <w:p/>
    <w:p>
      <w:pPr>
        <w:pStyle w:val="Heading2"/>
      </w:pPr>
      <w:r>
        <w:t>8. Solution Design Principles</w:t>
      </w:r>
    </w:p>
    <w:p>
      <w:pPr>
        <w:pStyle w:val="ListBullet"/>
      </w:pPr>
      <w:r>
        <w:t>Single Source of Truth</w:t>
      </w:r>
    </w:p>
    <w:p>
      <w:pPr>
        <w:pStyle w:val="ListBullet"/>
      </w:pPr>
      <w:r>
        <w:t>Automation First</w:t>
      </w:r>
    </w:p>
    <w:p>
      <w:pPr>
        <w:pStyle w:val="ListBullet"/>
      </w:pPr>
      <w:r>
        <w:t>Standardized KPIs</w:t>
      </w:r>
    </w:p>
    <w:p>
      <w:pPr>
        <w:pStyle w:val="ListBullet"/>
      </w:pPr>
      <w:r>
        <w:t>Scalability</w:t>
      </w:r>
    </w:p>
    <w:p>
      <w:pPr>
        <w:pStyle w:val="ListBullet"/>
      </w:pPr>
      <w:r>
        <w:t>Data Quality by Design</w:t>
      </w:r>
    </w:p>
    <w:p>
      <w:pPr>
        <w:pStyle w:val="ListBullet"/>
      </w:pPr>
      <w:r>
        <w:t>Security &amp; Role-Based Access</w:t>
      </w:r>
    </w:p>
    <w:p>
      <w:pPr>
        <w:pStyle w:val="ListBullet"/>
      </w:pPr>
      <w:r>
        <w:t>User-Centric Reporting</w:t>
      </w:r>
    </w:p>
    <w:p/>
    <w:p>
      <w:pPr>
        <w:pStyle w:val="Heading2"/>
      </w:pPr>
      <w:r>
        <w:t>9. Critical Success Factors</w:t>
      </w:r>
    </w:p>
    <w:p>
      <w:pPr>
        <w:pStyle w:val="ListBullet"/>
      </w:pPr>
      <w:r>
        <w:t>Executive sponsorship</w:t>
      </w:r>
    </w:p>
    <w:p>
      <w:pPr>
        <w:pStyle w:val="ListBullet"/>
      </w:pPr>
      <w:r>
        <w:t>Stakeholder engagement</w:t>
      </w:r>
    </w:p>
    <w:p>
      <w:pPr>
        <w:pStyle w:val="ListBullet"/>
      </w:pPr>
      <w:r>
        <w:t>Standardized KPI ownership</w:t>
      </w:r>
    </w:p>
    <w:p>
      <w:pPr>
        <w:pStyle w:val="ListBullet"/>
      </w:pPr>
      <w:r>
        <w:t>High-quality source data</w:t>
      </w:r>
    </w:p>
    <w:p>
      <w:pPr>
        <w:pStyle w:val="ListBullet"/>
      </w:pPr>
      <w:r>
        <w:t>User adoption across departments</w:t>
      </w:r>
    </w:p>
    <w:p/>
    <w:p>
      <w:pPr>
        <w:pStyle w:val="Heading2"/>
      </w:pPr>
      <w:r>
        <w:t>10. Success Criteria &amp; Expected KPIs</w:t>
      </w:r>
    </w:p>
    <w:p>
      <w:pPr>
        <w:pStyle w:val="ListBullet"/>
      </w:pPr>
      <w:r>
        <w:t>Manual reporting effort is reduced by at least 70%.</w:t>
      </w:r>
    </w:p>
    <w:p>
      <w:pPr>
        <w:pStyle w:val="ListBullet"/>
      </w:pPr>
      <w:r>
        <w:t>100% of MVP reporting metrics utilize the standardized cross-departmental KPI dictionary.</w:t>
      </w:r>
    </w:p>
    <w:p>
      <w:pPr>
        <w:pStyle w:val="ListBullet"/>
      </w:pPr>
      <w:r>
        <w:t>Billing validation discrepancies are reduced, proving a measurable drop in revenue leakage.</w:t>
      </w:r>
    </w:p>
    <w:p>
      <w:pPr>
        <w:pStyle w:val="ListBullet"/>
      </w:pPr>
      <w:r>
        <w:t>Leadership can access end-to-end operational performance metrics through a single Power BI workspace.</w:t>
      </w:r>
    </w:p>
    <w:p>
      <w:pPr>
        <w:pStyle w:val="ListBullet"/>
      </w:pPr>
      <w:r>
        <w:t>All business requirements are fully traceable to functional dashboards and approved test cases.</w:t>
      </w:r>
    </w:p>
    <w:p/>
    <w:p>
      <w:pPr>
        <w:pStyle w:val="Heading3"/>
      </w:pPr>
      <w:r>
        <w:t>10.1 Expected KPIs</w:t>
      </w:r>
    </w:p>
    <w:tbl>
      <w:tblPr>
        <w:tblStyle w:val="TableGrid"/>
        <w:tblW w:type="auto" w:w="0"/>
        <w:jc w:val="left"/>
        <w:tblLayout w:type="fixed"/>
        <w:tblLook w:firstColumn="1" w:firstRow="1" w:lastColumn="0" w:lastRow="0" w:noHBand="0" w:noVBand="1" w:val="04A0"/>
      </w:tblPr>
      <w:tblGrid>
        <w:gridCol w:w="2880"/>
        <w:gridCol w:w="2880"/>
        <w:gridCol w:w="2880"/>
      </w:tblGrid>
      <w:tr>
        <w:tc>
          <w:tcPr>
            <w:tcW w:type="dxa" w:w="3600"/>
            <w:shd w:fill="003366"/>
          </w:tcPr>
          <w:p>
            <w:r>
              <w:rPr>
                <w:b/>
                <w:color w:val="FFFFFF"/>
              </w:rPr>
              <w:t>Metric</w:t>
            </w:r>
          </w:p>
        </w:tc>
        <w:tc>
          <w:tcPr>
            <w:tcW w:type="dxa" w:w="2160"/>
            <w:shd w:fill="003366"/>
          </w:tcPr>
          <w:p>
            <w:r>
              <w:rPr>
                <w:b/>
                <w:color w:val="FFFFFF"/>
              </w:rPr>
              <w:t>Current</w:t>
            </w:r>
          </w:p>
        </w:tc>
        <w:tc>
          <w:tcPr>
            <w:tcW w:type="dxa" w:w="2160"/>
            <w:shd w:fill="003366"/>
          </w:tcPr>
          <w:p>
            <w:r>
              <w:rPr>
                <w:b/>
                <w:color w:val="FFFFFF"/>
              </w:rPr>
              <w:t>Target</w:t>
            </w:r>
          </w:p>
        </w:tc>
      </w:tr>
      <w:tr>
        <w:tc>
          <w:tcPr>
            <w:tcW w:type="dxa" w:w="3600"/>
          </w:tcPr>
          <w:p>
            <w:r>
              <w:t>Report Preparation Time</w:t>
            </w:r>
          </w:p>
        </w:tc>
        <w:tc>
          <w:tcPr>
            <w:tcW w:type="dxa" w:w="2160"/>
          </w:tcPr>
          <w:p>
            <w:r>
              <w:t>3+ Hours</w:t>
            </w:r>
          </w:p>
        </w:tc>
        <w:tc>
          <w:tcPr>
            <w:tcW w:type="dxa" w:w="2160"/>
          </w:tcPr>
          <w:p>
            <w:r>
              <w:t>&lt;30 Minutes</w:t>
            </w:r>
          </w:p>
        </w:tc>
      </w:tr>
      <w:tr>
        <w:tc>
          <w:tcPr>
            <w:tcW w:type="dxa" w:w="3600"/>
          </w:tcPr>
          <w:p>
            <w:r>
              <w:t>Manual Report Collection</w:t>
            </w:r>
          </w:p>
        </w:tc>
        <w:tc>
          <w:tcPr>
            <w:tcW w:type="dxa" w:w="2160"/>
          </w:tcPr>
          <w:p>
            <w:r>
              <w:t>100%</w:t>
            </w:r>
          </w:p>
        </w:tc>
        <w:tc>
          <w:tcPr>
            <w:tcW w:type="dxa" w:w="2160"/>
          </w:tcPr>
          <w:p>
            <w:r>
              <w:t>&lt;10%</w:t>
            </w:r>
          </w:p>
        </w:tc>
      </w:tr>
      <w:tr>
        <w:tc>
          <w:tcPr>
            <w:tcW w:type="dxa" w:w="3600"/>
          </w:tcPr>
          <w:p>
            <w:r>
              <w:t>Manual KPI Validation</w:t>
            </w:r>
          </w:p>
        </w:tc>
        <w:tc>
          <w:tcPr>
            <w:tcW w:type="dxa" w:w="2160"/>
          </w:tcPr>
          <w:p>
            <w:r>
              <w:t>High</w:t>
            </w:r>
          </w:p>
        </w:tc>
        <w:tc>
          <w:tcPr>
            <w:tcW w:type="dxa" w:w="2160"/>
          </w:tcPr>
          <w:p>
            <w:r>
              <w:t>Automated</w:t>
            </w:r>
          </w:p>
        </w:tc>
      </w:tr>
      <w:tr>
        <w:tc>
          <w:tcPr>
            <w:tcW w:type="dxa" w:w="3600"/>
          </w:tcPr>
          <w:p>
            <w:r>
              <w:t>Executive Reporting Delay</w:t>
            </w:r>
          </w:p>
        </w:tc>
        <w:tc>
          <w:tcPr>
            <w:tcW w:type="dxa" w:w="2160"/>
          </w:tcPr>
          <w:p>
            <w:r>
              <w:t>High</w:t>
            </w:r>
          </w:p>
        </w:tc>
        <w:tc>
          <w:tcPr>
            <w:tcW w:type="dxa" w:w="2160"/>
          </w:tcPr>
          <w:p>
            <w:r>
              <w:t>Near Real-Time</w:t>
            </w:r>
          </w:p>
        </w:tc>
      </w:tr>
    </w:tbl>
    <w:p/>
    <w:p>
      <w:pPr>
        <w:pStyle w:val="Heading2"/>
      </w:pPr>
      <w:r>
        <w:t>11. Key Risks</w:t>
      </w:r>
    </w:p>
    <w:tbl>
      <w:tblPr>
        <w:tblStyle w:val="TableGrid"/>
        <w:tblW w:type="auto" w:w="0"/>
        <w:jc w:val="left"/>
        <w:tblLayout w:type="fixed"/>
        <w:tblLook w:firstColumn="1" w:firstRow="1" w:lastColumn="0" w:lastRow="0" w:noHBand="0" w:noVBand="1" w:val="04A0"/>
      </w:tblPr>
      <w:tblGrid>
        <w:gridCol w:w="4320"/>
        <w:gridCol w:w="4320"/>
      </w:tblGrid>
      <w:tr>
        <w:tc>
          <w:tcPr>
            <w:tcW w:type="dxa" w:w="4320"/>
            <w:shd w:fill="003366"/>
          </w:tcPr>
          <w:p>
            <w:r>
              <w:rPr>
                <w:b/>
                <w:color w:val="FFFFFF"/>
              </w:rPr>
              <w:t>Risk</w:t>
            </w:r>
          </w:p>
        </w:tc>
        <w:tc>
          <w:tcPr>
            <w:tcW w:type="dxa" w:w="4320"/>
            <w:shd w:fill="003366"/>
          </w:tcPr>
          <w:p>
            <w:r>
              <w:rPr>
                <w:b/>
                <w:color w:val="FFFFFF"/>
              </w:rPr>
              <w:t>Mitigation</w:t>
            </w:r>
          </w:p>
        </w:tc>
      </w:tr>
      <w:tr>
        <w:tc>
          <w:tcPr>
            <w:tcW w:type="dxa" w:w="4320"/>
          </w:tcPr>
          <w:p>
            <w:r>
              <w:t>Source data inconsistency</w:t>
            </w:r>
          </w:p>
        </w:tc>
        <w:tc>
          <w:tcPr>
            <w:tcW w:type="dxa" w:w="4320"/>
          </w:tcPr>
          <w:p>
            <w:r>
              <w:t>Standardized ETL validation</w:t>
            </w:r>
          </w:p>
        </w:tc>
      </w:tr>
      <w:tr>
        <w:tc>
          <w:tcPr>
            <w:tcW w:type="dxa" w:w="4320"/>
          </w:tcPr>
          <w:p>
            <w:r>
              <w:t>KPI definition conflicts</w:t>
            </w:r>
          </w:p>
        </w:tc>
        <w:tc>
          <w:tcPr>
            <w:tcW w:type="dxa" w:w="4320"/>
          </w:tcPr>
          <w:p>
            <w:r>
              <w:t>KPI Dictionary</w:t>
            </w:r>
          </w:p>
        </w:tc>
      </w:tr>
      <w:tr>
        <w:tc>
          <w:tcPr>
            <w:tcW w:type="dxa" w:w="4320"/>
          </w:tcPr>
          <w:p>
            <w:r>
              <w:t>User adoption</w:t>
            </w:r>
          </w:p>
        </w:tc>
        <w:tc>
          <w:tcPr>
            <w:tcW w:type="dxa" w:w="4320"/>
          </w:tcPr>
          <w:p>
            <w:r>
              <w:t>Training &amp; UAT</w:t>
            </w:r>
          </w:p>
        </w:tc>
      </w:tr>
      <w:tr>
        <w:tc>
          <w:tcPr>
            <w:tcW w:type="dxa" w:w="4320"/>
          </w:tcPr>
          <w:p>
            <w:r>
              <w:t>Data quality issues</w:t>
            </w:r>
          </w:p>
        </w:tc>
        <w:tc>
          <w:tcPr>
            <w:tcW w:type="dxa" w:w="4320"/>
          </w:tcPr>
          <w:p>
            <w:r>
              <w:t>Validation rules</w:t>
            </w:r>
          </w:p>
        </w:tc>
      </w:tr>
      <w:tr>
        <w:tc>
          <w:tcPr>
            <w:tcW w:type="dxa" w:w="4320"/>
          </w:tcPr>
          <w:p>
            <w:r>
              <w:t>Scope creep</w:t>
            </w:r>
          </w:p>
        </w:tc>
        <w:tc>
          <w:tcPr>
            <w:tcW w:type="dxa" w:w="4320"/>
          </w:tcPr>
          <w:p>
            <w:r>
              <w:t>MVP delivery approach</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