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6746B" w14:textId="77777777" w:rsidR="00450C92" w:rsidRDefault="00000000">
      <w:pPr>
        <w:spacing w:after="120"/>
        <w:jc w:val="center"/>
      </w:pPr>
      <w:r>
        <w:rPr>
          <w:b/>
          <w:bCs/>
          <w:sz w:val="30"/>
          <w:szCs w:val="30"/>
        </w:rPr>
        <w:t>Heat of Hydration of Portland and Composite Cements under Semi-Adiabatic Conditions</w:t>
      </w:r>
    </w:p>
    <w:p w14:paraId="470D2A27" w14:textId="4028A2B2" w:rsidR="00450C92" w:rsidRDefault="00000000">
      <w:pPr>
        <w:spacing w:after="40"/>
        <w:jc w:val="center"/>
      </w:pPr>
      <w:r>
        <w:t>Abdur Nur Tushar</w:t>
      </w:r>
      <w:r>
        <w:rPr>
          <w:vertAlign w:val="superscript"/>
        </w:rPr>
        <w:t>1</w:t>
      </w:r>
      <w:r>
        <w:t>, Zisan Zia</w:t>
      </w:r>
      <w:r>
        <w:rPr>
          <w:vertAlign w:val="superscript"/>
        </w:rPr>
        <w:t>1</w:t>
      </w:r>
      <w:r w:rsidR="00E272BD">
        <w:t>, Rifat</w:t>
      </w:r>
      <w:r w:rsidR="00E272BD">
        <w:rPr>
          <w:vertAlign w:val="superscript"/>
        </w:rPr>
        <w:t>2</w:t>
      </w:r>
      <w:r w:rsidR="00E272BD">
        <w:t xml:space="preserve"> </w:t>
      </w:r>
      <w:r>
        <w:t>and Raquib Ahsan</w:t>
      </w:r>
      <w:r w:rsidR="00E272BD">
        <w:rPr>
          <w:vertAlign w:val="superscript"/>
        </w:rPr>
        <w:t>3</w:t>
      </w:r>
    </w:p>
    <w:p w14:paraId="5F16E89E" w14:textId="7A7B14DA" w:rsidR="00450C92" w:rsidRDefault="00000000">
      <w:pPr>
        <w:spacing w:after="30"/>
        <w:jc w:val="center"/>
      </w:pPr>
      <w:r>
        <w:rPr>
          <w:i/>
          <w:iCs/>
          <w:sz w:val="18"/>
          <w:szCs w:val="18"/>
        </w:rPr>
        <w:t>1 Undergraduate Student, 2</w:t>
      </w:r>
      <w:r w:rsidR="00E272BD">
        <w:rPr>
          <w:i/>
          <w:iCs/>
          <w:sz w:val="18"/>
          <w:szCs w:val="18"/>
        </w:rPr>
        <w:t xml:space="preserve"> Research Assistant, 3</w:t>
      </w:r>
      <w:r>
        <w:rPr>
          <w:i/>
          <w:iCs/>
          <w:sz w:val="18"/>
          <w:szCs w:val="18"/>
        </w:rPr>
        <w:t xml:space="preserve"> Associate Professor, Department of Civil Engineering,</w:t>
      </w:r>
    </w:p>
    <w:p w14:paraId="0CE6D60F" w14:textId="77777777" w:rsidR="00450C92" w:rsidRDefault="00000000">
      <w:pPr>
        <w:spacing w:after="30"/>
        <w:jc w:val="center"/>
      </w:pPr>
      <w:r>
        <w:rPr>
          <w:i/>
          <w:iCs/>
          <w:sz w:val="18"/>
          <w:szCs w:val="18"/>
        </w:rPr>
        <w:t>Bangladesh University of Engineering and Technology (BUET), Dhaka-1000, Bangladesh</w:t>
      </w:r>
    </w:p>
    <w:p w14:paraId="0EAEBD11" w14:textId="194B50E7" w:rsidR="00450C92" w:rsidRDefault="00000000">
      <w:pPr>
        <w:spacing w:after="160"/>
        <w:jc w:val="center"/>
      </w:pPr>
      <w:r>
        <w:rPr>
          <w:sz w:val="18"/>
          <w:szCs w:val="18"/>
        </w:rPr>
        <w:t xml:space="preserve">Corresponding author: </w:t>
      </w:r>
    </w:p>
    <w:p w14:paraId="6097F0D1" w14:textId="77777777" w:rsidR="00450C92" w:rsidRDefault="00000000">
      <w:pPr>
        <w:spacing w:after="60"/>
      </w:pPr>
      <w:r>
        <w:rPr>
          <w:b/>
          <w:bCs/>
          <w:sz w:val="20"/>
          <w:szCs w:val="20"/>
        </w:rPr>
        <w:t>ABSTRACT</w:t>
      </w:r>
    </w:p>
    <w:p w14:paraId="3FFE723E" w14:textId="77777777" w:rsidR="00450C92" w:rsidRDefault="00000000">
      <w:pPr>
        <w:spacing w:after="80" w:line="224" w:lineRule="auto"/>
        <w:jc w:val="both"/>
      </w:pPr>
      <w:r>
        <w:rPr>
          <w:sz w:val="18"/>
          <w:szCs w:val="18"/>
        </w:rPr>
        <w:t>Heat released during cement hydration governs early-age temperature rise and the risk of thermal cracking in mass concrete. This study compares the hydration heat evolution of four commercially produced cements conforming to BDS EN 197-1:2003 — CEM I 52.5 N, CEM II A-M 42.5 R, CEM II A-M 42.5 N and CEM II B-M 42.5 N — tested under semi-adiabatic, sealed conditions at a water-to-cement ratio of 0.40. Clinker mineralogy was characterized by X-ray diffraction (XRD), and temperature–time histories recorded with a calibrated bench-top semi-adiabatic calorimeter were converted to specific heat-generation rate and cumulative heat in MATLAB using a lumped heat-balance model with a degree-of-hydration-dependent heat capacity. The rate curves were resolved with a two-component Gaussian model, and the cumulative curves were represented by sixth-order polynomials (R² &gt; 0.999) suitable for thermal simulation. Independent simulations with the NIST Virtual Cement and Concrete Testing Laboratory (VCCTL) were used for validation. CEM I 52.5 N produced the highest cumulative heat (≈467 J/g) and fastest kinetics, whereas CEM II B-M 42.5 N produced the lowest (≈255 J/g). The rapid-hardening CEM II A-M 42.5 R released ≈433 J/g — close to CEM I and well above the normal-strength CEM II A-M 42.5 N (≈284 J/g) — a consequence of higher fineness rather than clinker content. VCCTL reproduced the experimental ranking, agreeing within ≈3% for the high-clinker cements. The results provide practical hydration parameters and cement-selection guidance for mass concrete in tropical climates.</w:t>
      </w:r>
    </w:p>
    <w:p w14:paraId="1F719914" w14:textId="77777777" w:rsidR="00450C92" w:rsidRDefault="00000000">
      <w:pPr>
        <w:spacing w:after="160" w:line="224" w:lineRule="auto"/>
      </w:pPr>
      <w:r>
        <w:rPr>
          <w:b/>
          <w:bCs/>
          <w:sz w:val="18"/>
          <w:szCs w:val="18"/>
        </w:rPr>
        <w:t xml:space="preserve">Keywords: </w:t>
      </w:r>
      <w:r>
        <w:rPr>
          <w:sz w:val="18"/>
          <w:szCs w:val="18"/>
        </w:rPr>
        <w:t>Cement hydration; Heat of hydration; Semi-adiabatic calorimetry; Composite cement; Thermal cracking; VCCTL; Gaussian model.</w:t>
      </w:r>
    </w:p>
    <w:p w14:paraId="640A64F6" w14:textId="77777777" w:rsidR="00450C92" w:rsidRDefault="00000000">
      <w:pPr>
        <w:spacing w:before="90" w:after="60"/>
      </w:pPr>
      <w:r>
        <w:rPr>
          <w:b/>
          <w:bCs/>
          <w:sz w:val="24"/>
          <w:szCs w:val="24"/>
        </w:rPr>
        <w:t>1. INTRODUCTION</w:t>
      </w:r>
    </w:p>
    <w:p w14:paraId="7DD02341" w14:textId="77777777" w:rsidR="00450C92" w:rsidRDefault="00000000">
      <w:pPr>
        <w:spacing w:after="100" w:line="224" w:lineRule="auto"/>
        <w:ind w:firstLine="360"/>
        <w:jc w:val="both"/>
      </w:pPr>
      <w:r>
        <w:t xml:space="preserve">Cement hydration is an exothermic process in which the clinker phases — tricalcium silicate (C₃S), dicalcium silicate (C₂S), tricalcium aluminate (C₃A) and </w:t>
      </w:r>
      <w:proofErr w:type="spellStart"/>
      <w:r>
        <w:t>tetracalcium</w:t>
      </w:r>
      <w:proofErr w:type="spellEnd"/>
      <w:r>
        <w:t xml:space="preserve"> </w:t>
      </w:r>
      <w:proofErr w:type="spellStart"/>
      <w:r>
        <w:t>aluminoferrite</w:t>
      </w:r>
      <w:proofErr w:type="spellEnd"/>
      <w:r>
        <w:t xml:space="preserve"> (C₄AF) — react with water to develop strength while releasing heat. In mass concrete elements such as raft foundations, bridge piers and thick mats, this heat is retained in the core while the surface cools, generating temperature gradients and tensile stresses that can exceed the low early-age tensile capacity of concrete and cause thermal cracking. Reliable prediction of early-age temperature therefore requires accurate hydration-heat characterization of the cements actually used in practice.</w:t>
      </w:r>
    </w:p>
    <w:p w14:paraId="34E5786A" w14:textId="77777777" w:rsidR="00450C92" w:rsidRDefault="00000000">
      <w:pPr>
        <w:spacing w:after="100" w:line="224" w:lineRule="auto"/>
        <w:ind w:firstLine="360"/>
        <w:jc w:val="both"/>
      </w:pPr>
      <w:r>
        <w:t xml:space="preserve">Ordinary Portland cement (CEM I) hydrates rapidly and releases high heat because of its high clinker content, whereas composite cements (CEM II) incorporate limestone, slag, fly ash or other supplementary constituents that dilute the clinker, slow hydration and reduce cumulative heat. A practically important exception is the rapid-hardening (“R”) class, which achieves high early strength mainly through finer grinding rather than higher clinker content; its early-age thermal </w:t>
      </w:r>
      <w:proofErr w:type="spellStart"/>
      <w:r>
        <w:t>behaviour</w:t>
      </w:r>
      <w:proofErr w:type="spellEnd"/>
      <w:r>
        <w:t xml:space="preserve"> is frequently underestimated in mass-concrete design.</w:t>
      </w:r>
    </w:p>
    <w:p w14:paraId="62494177" w14:textId="77777777" w:rsidR="00450C92" w:rsidRDefault="00000000">
      <w:pPr>
        <w:spacing w:after="100" w:line="224" w:lineRule="auto"/>
        <w:ind w:firstLine="360"/>
        <w:jc w:val="both"/>
      </w:pPr>
      <w:r>
        <w:t>Despite extensive international work, semi-adiabatic hydration-heat data for commercially produced Bangladeshi cements conforming to BDS EN 197-1 remain scarce, and studies integrating mineralogical characterization, calorimetry, analytical modelling and numerical validation within a single framework are limited. This paper addresses that gap by comparing four such cements. The objectives are to (</w:t>
      </w:r>
      <w:proofErr w:type="spellStart"/>
      <w:r>
        <w:t>i</w:t>
      </w:r>
      <w:proofErr w:type="spellEnd"/>
      <w:r>
        <w:t>) characterize clinker mineralogy by XRD; (ii) measure heat-generation rate and cumulative heat under semi-adiabatic conditions; (iii) develop two-component Gaussian and sixth-order polynomial models of heat evolution; (iv) validate the experimental ranking against NIST VCCTL simulations; and (v) translate the findings into cement-selection guidance for mass concrete in a tropical climate.</w:t>
      </w:r>
    </w:p>
    <w:p w14:paraId="2F614C98" w14:textId="77777777" w:rsidR="00450C92" w:rsidRDefault="00000000">
      <w:pPr>
        <w:spacing w:before="90" w:after="60"/>
      </w:pPr>
      <w:r>
        <w:rPr>
          <w:b/>
          <w:bCs/>
          <w:sz w:val="24"/>
          <w:szCs w:val="24"/>
        </w:rPr>
        <w:t>2. MATERIALS AND METHODS</w:t>
      </w:r>
    </w:p>
    <w:p w14:paraId="42C43F4E" w14:textId="77777777" w:rsidR="00450C92" w:rsidRDefault="00000000">
      <w:pPr>
        <w:spacing w:before="140" w:after="80"/>
      </w:pPr>
      <w:r>
        <w:rPr>
          <w:b/>
          <w:bCs/>
          <w:i/>
          <w:iCs/>
        </w:rPr>
        <w:t>2.1 Materials and Sample Identification</w:t>
      </w:r>
    </w:p>
    <w:p w14:paraId="7DBD763D" w14:textId="77777777" w:rsidR="00450C92" w:rsidRDefault="00000000">
      <w:pPr>
        <w:spacing w:after="100" w:line="224" w:lineRule="auto"/>
        <w:ind w:firstLine="360"/>
        <w:jc w:val="both"/>
      </w:pPr>
      <w:r>
        <w:t>Four commercially available cements were selected to span the range of clinker content and mineral addition encountered in local construction (Table 1). All samples were collected from sealed bags and stored in airtight containers to limit pre-hydration and carbonation. Cement pastes were prepared at a water-to-cement ratio of 0.40 (cement mass 139 g, water mass 57 g), mixed to a uniform consistency, sealed in the calorimeter vial, and the moment of cement–water contact was taken as t = 0.</w:t>
      </w:r>
    </w:p>
    <w:p w14:paraId="686DF95E" w14:textId="77777777" w:rsidR="00450C92" w:rsidRDefault="00000000">
      <w:pPr>
        <w:spacing w:before="140" w:after="60"/>
        <w:jc w:val="center"/>
      </w:pPr>
      <w:r>
        <w:rPr>
          <w:b/>
          <w:bCs/>
          <w:sz w:val="18"/>
          <w:szCs w:val="18"/>
        </w:rPr>
        <w:lastRenderedPageBreak/>
        <w:t>Table 1. Cement types investigated and their expected thermal role.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600"/>
        <w:gridCol w:w="1700"/>
        <w:gridCol w:w="3560"/>
      </w:tblGrid>
      <w:tr w:rsidR="00450C92" w14:paraId="23DACB93" w14:textId="77777777">
        <w:tblPrEx>
          <w:tblCellMar>
            <w:top w:w="0" w:type="dxa"/>
            <w:bottom w:w="0" w:type="dxa"/>
          </w:tblCellMar>
        </w:tblPrEx>
        <w:trPr>
          <w:tblHeader/>
        </w:trPr>
        <w:tc>
          <w:tcPr>
            <w:tcW w:w="15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5E048B0D" w14:textId="77777777" w:rsidR="00450C92" w:rsidRDefault="00000000">
            <w:pPr>
              <w:jc w:val="center"/>
            </w:pPr>
            <w:r>
              <w:rPr>
                <w:b/>
                <w:bCs/>
                <w:sz w:val="18"/>
                <w:szCs w:val="18"/>
              </w:rPr>
              <w:t>Sample</w:t>
            </w:r>
          </w:p>
        </w:tc>
        <w:tc>
          <w:tcPr>
            <w:tcW w:w="26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6F574DE2" w14:textId="77777777" w:rsidR="00450C92" w:rsidRDefault="00000000">
            <w:pPr>
              <w:jc w:val="center"/>
            </w:pPr>
            <w:r>
              <w:rPr>
                <w:b/>
                <w:bCs/>
                <w:sz w:val="18"/>
                <w:szCs w:val="18"/>
              </w:rPr>
              <w:t>Commercial type</w:t>
            </w:r>
          </w:p>
        </w:tc>
        <w:tc>
          <w:tcPr>
            <w:tcW w:w="17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0353C0FB" w14:textId="77777777" w:rsidR="00450C92" w:rsidRDefault="00000000">
            <w:pPr>
              <w:jc w:val="center"/>
            </w:pPr>
            <w:r>
              <w:rPr>
                <w:b/>
                <w:bCs/>
                <w:sz w:val="18"/>
                <w:szCs w:val="18"/>
              </w:rPr>
              <w:t>Strength class</w:t>
            </w:r>
          </w:p>
        </w:tc>
        <w:tc>
          <w:tcPr>
            <w:tcW w:w="356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3F1F039F" w14:textId="77777777" w:rsidR="00450C92" w:rsidRDefault="00000000">
            <w:pPr>
              <w:jc w:val="center"/>
            </w:pPr>
            <w:r>
              <w:rPr>
                <w:b/>
                <w:bCs/>
                <w:sz w:val="18"/>
                <w:szCs w:val="18"/>
              </w:rPr>
              <w:t>Expected hydration / thermal role</w:t>
            </w:r>
          </w:p>
        </w:tc>
      </w:tr>
      <w:tr w:rsidR="00450C92" w14:paraId="31F9A428" w14:textId="77777777">
        <w:tblPrEx>
          <w:tblCellMar>
            <w:top w:w="0" w:type="dxa"/>
            <w:bottom w:w="0" w:type="dxa"/>
          </w:tblCellMar>
        </w:tblPrEx>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BC08498" w14:textId="77777777" w:rsidR="00450C92" w:rsidRDefault="00000000">
            <w:r>
              <w:rPr>
                <w:sz w:val="18"/>
                <w:szCs w:val="18"/>
              </w:rPr>
              <w:t>Cement 4</w:t>
            </w:r>
          </w:p>
        </w:tc>
        <w:tc>
          <w:tcPr>
            <w:tcW w:w="26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3AB8BEB" w14:textId="77777777" w:rsidR="00450C92" w:rsidRDefault="00000000">
            <w:r>
              <w:rPr>
                <w:sz w:val="18"/>
                <w:szCs w:val="18"/>
              </w:rPr>
              <w:t>CEM I 52.5 N</w:t>
            </w:r>
          </w:p>
        </w:tc>
        <w:tc>
          <w:tcPr>
            <w:tcW w:w="1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72381E7" w14:textId="77777777" w:rsidR="00450C92" w:rsidRDefault="00000000">
            <w:r>
              <w:rPr>
                <w:sz w:val="18"/>
                <w:szCs w:val="18"/>
              </w:rPr>
              <w:t>High, normal</w:t>
            </w:r>
          </w:p>
        </w:tc>
        <w:tc>
          <w:tcPr>
            <w:tcW w:w="3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83B31FE" w14:textId="77777777" w:rsidR="00450C92" w:rsidRDefault="00000000">
            <w:r>
              <w:rPr>
                <w:sz w:val="18"/>
                <w:szCs w:val="18"/>
              </w:rPr>
              <w:t>High clinker → fastest hydration, highest heat</w:t>
            </w:r>
          </w:p>
        </w:tc>
      </w:tr>
      <w:tr w:rsidR="00450C92" w14:paraId="49A9A7AC" w14:textId="77777777">
        <w:tblPrEx>
          <w:tblCellMar>
            <w:top w:w="0" w:type="dxa"/>
            <w:bottom w:w="0" w:type="dxa"/>
          </w:tblCellMar>
        </w:tblPrEx>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11B65ED" w14:textId="77777777" w:rsidR="00450C92" w:rsidRDefault="00000000">
            <w:r>
              <w:rPr>
                <w:sz w:val="18"/>
                <w:szCs w:val="18"/>
              </w:rPr>
              <w:t>Cement 3</w:t>
            </w:r>
          </w:p>
        </w:tc>
        <w:tc>
          <w:tcPr>
            <w:tcW w:w="26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322154F" w14:textId="77777777" w:rsidR="00450C92" w:rsidRDefault="00000000">
            <w:r>
              <w:rPr>
                <w:sz w:val="18"/>
                <w:szCs w:val="18"/>
              </w:rPr>
              <w:t>CEM II A-M 42.5 R</w:t>
            </w:r>
          </w:p>
        </w:tc>
        <w:tc>
          <w:tcPr>
            <w:tcW w:w="1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D9833DD" w14:textId="77777777" w:rsidR="00450C92" w:rsidRDefault="00000000">
            <w:r>
              <w:rPr>
                <w:sz w:val="18"/>
                <w:szCs w:val="18"/>
              </w:rPr>
              <w:t>Rapid hardening</w:t>
            </w:r>
          </w:p>
        </w:tc>
        <w:tc>
          <w:tcPr>
            <w:tcW w:w="3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30AA006" w14:textId="77777777" w:rsidR="00450C92" w:rsidRDefault="00000000">
            <w:r>
              <w:rPr>
                <w:sz w:val="18"/>
                <w:szCs w:val="18"/>
              </w:rPr>
              <w:t>Composite but finely ground → high early-age heat</w:t>
            </w:r>
          </w:p>
        </w:tc>
      </w:tr>
      <w:tr w:rsidR="00450C92" w14:paraId="20A9AA3E" w14:textId="77777777">
        <w:tblPrEx>
          <w:tblCellMar>
            <w:top w:w="0" w:type="dxa"/>
            <w:bottom w:w="0" w:type="dxa"/>
          </w:tblCellMar>
        </w:tblPrEx>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C9252BF" w14:textId="77777777" w:rsidR="00450C92" w:rsidRDefault="00000000">
            <w:r>
              <w:rPr>
                <w:sz w:val="18"/>
                <w:szCs w:val="18"/>
              </w:rPr>
              <w:t>Cement 2</w:t>
            </w:r>
          </w:p>
        </w:tc>
        <w:tc>
          <w:tcPr>
            <w:tcW w:w="26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47D2B06" w14:textId="77777777" w:rsidR="00450C92" w:rsidRDefault="00000000">
            <w:r>
              <w:rPr>
                <w:sz w:val="18"/>
                <w:szCs w:val="18"/>
              </w:rPr>
              <w:t>CEM II A-M 42.5 N</w:t>
            </w:r>
          </w:p>
        </w:tc>
        <w:tc>
          <w:tcPr>
            <w:tcW w:w="1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0E86384" w14:textId="77777777" w:rsidR="00450C92" w:rsidRDefault="00000000">
            <w:r>
              <w:rPr>
                <w:sz w:val="18"/>
                <w:szCs w:val="18"/>
              </w:rPr>
              <w:t>Normal</w:t>
            </w:r>
          </w:p>
        </w:tc>
        <w:tc>
          <w:tcPr>
            <w:tcW w:w="3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E3E8CBA" w14:textId="77777777" w:rsidR="00450C92" w:rsidRDefault="00000000">
            <w:r>
              <w:rPr>
                <w:sz w:val="18"/>
                <w:szCs w:val="18"/>
              </w:rPr>
              <w:t>Moderate clinker dilution → intermediate heat</w:t>
            </w:r>
          </w:p>
        </w:tc>
      </w:tr>
      <w:tr w:rsidR="00450C92" w14:paraId="7984CAF1" w14:textId="77777777">
        <w:tblPrEx>
          <w:tblCellMar>
            <w:top w:w="0" w:type="dxa"/>
            <w:bottom w:w="0" w:type="dxa"/>
          </w:tblCellMar>
        </w:tblPrEx>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7F4CADE" w14:textId="77777777" w:rsidR="00450C92" w:rsidRDefault="00000000">
            <w:r>
              <w:rPr>
                <w:sz w:val="18"/>
                <w:szCs w:val="18"/>
              </w:rPr>
              <w:t>Cement 1</w:t>
            </w:r>
          </w:p>
        </w:tc>
        <w:tc>
          <w:tcPr>
            <w:tcW w:w="26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5175EEB" w14:textId="77777777" w:rsidR="00450C92" w:rsidRDefault="00000000">
            <w:r>
              <w:rPr>
                <w:sz w:val="18"/>
                <w:szCs w:val="18"/>
              </w:rPr>
              <w:t>CEM II B-M 42.5 N</w:t>
            </w:r>
          </w:p>
        </w:tc>
        <w:tc>
          <w:tcPr>
            <w:tcW w:w="1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CA14706" w14:textId="77777777" w:rsidR="00450C92" w:rsidRDefault="00000000">
            <w:r>
              <w:rPr>
                <w:sz w:val="18"/>
                <w:szCs w:val="18"/>
              </w:rPr>
              <w:t>Normal</w:t>
            </w:r>
          </w:p>
        </w:tc>
        <w:tc>
          <w:tcPr>
            <w:tcW w:w="3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22E6926" w14:textId="77777777" w:rsidR="00450C92" w:rsidRDefault="00000000">
            <w:r>
              <w:rPr>
                <w:sz w:val="18"/>
                <w:szCs w:val="18"/>
              </w:rPr>
              <w:t>Highest mineral addition → lowest, slowest heat</w:t>
            </w:r>
          </w:p>
        </w:tc>
      </w:tr>
    </w:tbl>
    <w:p w14:paraId="766A6E5E" w14:textId="77777777" w:rsidR="00450C92" w:rsidRDefault="00000000">
      <w:pPr>
        <w:spacing w:before="140" w:after="80"/>
      </w:pPr>
      <w:r>
        <w:rPr>
          <w:b/>
          <w:bCs/>
          <w:i/>
          <w:iCs/>
        </w:rPr>
        <w:t>2.2 Mineralogical Characterization (XRD)</w:t>
      </w:r>
    </w:p>
    <w:p w14:paraId="6C18FEDC" w14:textId="77777777" w:rsidR="00450C92" w:rsidRDefault="00000000">
      <w:pPr>
        <w:spacing w:after="100" w:line="224" w:lineRule="auto"/>
        <w:ind w:firstLine="360"/>
        <w:jc w:val="both"/>
      </w:pPr>
      <w:r>
        <w:t xml:space="preserve">Clinker mineralogy was determined with a </w:t>
      </w:r>
      <w:proofErr w:type="spellStart"/>
      <w:r>
        <w:t>PANalytical</w:t>
      </w:r>
      <w:proofErr w:type="spellEnd"/>
      <w:r>
        <w:t xml:space="preserve"> EMPYREAN diffractometer (Cu Kα, 45 kV / 40 mA) scanned over 6–90° 2θ at a step of 0.026°. Crystalline phases were identified by search-and-match against the ICDD PDF database, and a semi-quantitative phase distribution was obtained from the reference-intensity-ratio (scale-factor) method, in which the percentage of phase </w:t>
      </w:r>
      <w:proofErr w:type="spellStart"/>
      <w:r>
        <w:t>i</w:t>
      </w:r>
      <w:proofErr w:type="spellEnd"/>
      <w:r>
        <w:t xml:space="preserve"> equals its scale factor divided by the sum of all scale factors. The results are therefore approximate relative proportions used to explain hydration trends and to prepare VCCTL inputs.</w:t>
      </w:r>
    </w:p>
    <w:p w14:paraId="15F641B9" w14:textId="77777777" w:rsidR="00450C92" w:rsidRDefault="00000000">
      <w:pPr>
        <w:spacing w:before="140" w:after="80"/>
      </w:pPr>
      <w:r>
        <w:rPr>
          <w:b/>
          <w:bCs/>
          <w:i/>
          <w:iCs/>
        </w:rPr>
        <w:t>2.3 Semi-Adiabatic Calorimetry and Calibration</w:t>
      </w:r>
    </w:p>
    <w:p w14:paraId="23441D2B" w14:textId="77777777" w:rsidR="00450C92" w:rsidRDefault="00000000">
      <w:pPr>
        <w:spacing w:after="100" w:line="224" w:lineRule="auto"/>
        <w:ind w:firstLine="360"/>
        <w:jc w:val="both"/>
      </w:pPr>
      <w:r>
        <w:t>A custom bench-top semi-adiabatic calorimeter — an insulated outer container enclosing a sealed sample vial with sample and ambient temperature sensors — logged temperatures at 60-second intervals. Two calibration constants were determined. Electrical (heater) calibration gave an effective system heat capacity of 3076.9 J/K, of which the insulator contributed 1386.6 J/K. A free-cooling experiment, fitted to a lumped exponential model, gave the heat-loss coefficient Kₗ. Under semi-adiabatic conditions the reaction heat flow is recovered from the temperature history by the lumped heat balance:</w:t>
      </w:r>
    </w:p>
    <w:p w14:paraId="071FAEA0" w14:textId="77777777" w:rsidR="00450C92" w:rsidRDefault="00000000">
      <w:pPr>
        <w:tabs>
          <w:tab w:val="right" w:pos="9360"/>
        </w:tabs>
        <w:spacing w:before="30" w:after="30"/>
      </w:pPr>
      <w:r>
        <w:t xml:space="preserve">        </w:t>
      </w:r>
      <w:proofErr w:type="spellStart"/>
      <w:r>
        <w:rPr>
          <w:i/>
          <w:iCs/>
        </w:rPr>
        <w:t>q</w:t>
      </w:r>
      <w:r>
        <w:rPr>
          <w:i/>
          <w:iCs/>
          <w:vertAlign w:val="subscript"/>
        </w:rPr>
        <w:t>reaction</w:t>
      </w:r>
      <w:proofErr w:type="spellEnd"/>
      <w:r>
        <w:rPr>
          <w:i/>
          <w:iCs/>
        </w:rPr>
        <w:t>(t) = C · dT/dt + K</w:t>
      </w:r>
      <w:r>
        <w:rPr>
          <w:i/>
          <w:iCs/>
          <w:vertAlign w:val="subscript"/>
        </w:rPr>
        <w:t>ₗ</w:t>
      </w:r>
      <w:r>
        <w:rPr>
          <w:i/>
          <w:iCs/>
        </w:rPr>
        <w:t xml:space="preserve"> · [T(t) − </w:t>
      </w:r>
      <w:proofErr w:type="spellStart"/>
      <w:r>
        <w:rPr>
          <w:i/>
          <w:iCs/>
        </w:rPr>
        <w:t>T</w:t>
      </w:r>
      <w:r>
        <w:rPr>
          <w:i/>
          <w:iCs/>
          <w:vertAlign w:val="subscript"/>
        </w:rPr>
        <w:t>amb</w:t>
      </w:r>
      <w:proofErr w:type="spellEnd"/>
      <w:r>
        <w:rPr>
          <w:i/>
          <w:iCs/>
        </w:rPr>
        <w:t>(t)]</w:t>
      </w:r>
      <w:r>
        <w:tab/>
        <w:t>(1)</w:t>
      </w:r>
    </w:p>
    <w:p w14:paraId="657AE5D9" w14:textId="77777777" w:rsidR="00450C92" w:rsidRDefault="00000000">
      <w:pPr>
        <w:spacing w:after="100" w:line="224" w:lineRule="auto"/>
        <w:jc w:val="both"/>
      </w:pPr>
      <w:r>
        <w:t>The first term is the heat stored in the system and the second the heat lost to the surroundings. The rate is normalized per unit mass of cement, and cumulative heat is obtained by Simpson’s 1/3 numerical integration:</w:t>
      </w:r>
    </w:p>
    <w:p w14:paraId="36D098BD" w14:textId="77777777" w:rsidR="00450C92" w:rsidRDefault="00000000">
      <w:pPr>
        <w:tabs>
          <w:tab w:val="right" w:pos="9360"/>
        </w:tabs>
        <w:spacing w:before="30" w:after="30"/>
      </w:pPr>
      <w:r>
        <w:t xml:space="preserve">        </w:t>
      </w:r>
      <w:r>
        <w:rPr>
          <w:i/>
          <w:iCs/>
        </w:rPr>
        <w:t xml:space="preserve">q(t) = </w:t>
      </w:r>
      <w:proofErr w:type="spellStart"/>
      <w:r>
        <w:rPr>
          <w:i/>
          <w:iCs/>
        </w:rPr>
        <w:t>q</w:t>
      </w:r>
      <w:r>
        <w:rPr>
          <w:i/>
          <w:iCs/>
          <w:vertAlign w:val="subscript"/>
        </w:rPr>
        <w:t>reaction</w:t>
      </w:r>
      <w:proofErr w:type="spellEnd"/>
      <w:r>
        <w:rPr>
          <w:i/>
          <w:iCs/>
        </w:rPr>
        <w:t>(t) / m</w:t>
      </w:r>
      <w:r>
        <w:rPr>
          <w:i/>
          <w:iCs/>
          <w:vertAlign w:val="subscript"/>
        </w:rPr>
        <w:t>c</w:t>
      </w:r>
      <w:r>
        <w:rPr>
          <w:i/>
          <w:iCs/>
        </w:rPr>
        <w:t xml:space="preserve">        ;        Q(t) = ∫</w:t>
      </w:r>
      <w:r>
        <w:rPr>
          <w:i/>
          <w:iCs/>
          <w:vertAlign w:val="subscript"/>
        </w:rPr>
        <w:t>0</w:t>
      </w:r>
      <w:r>
        <w:rPr>
          <w:i/>
          <w:iCs/>
        </w:rPr>
        <w:t>ᵗ q(t) dt</w:t>
      </w:r>
      <w:r>
        <w:tab/>
        <w:t>(2)</w:t>
      </w:r>
    </w:p>
    <w:p w14:paraId="7B805B81" w14:textId="77777777" w:rsidR="00450C92" w:rsidRDefault="00000000">
      <w:pPr>
        <w:spacing w:before="140" w:after="80"/>
      </w:pPr>
      <w:r>
        <w:rPr>
          <w:b/>
          <w:bCs/>
          <w:i/>
          <w:iCs/>
        </w:rPr>
        <w:t>2.4 Data Processing and Analytical Models</w:t>
      </w:r>
    </w:p>
    <w:p w14:paraId="064363B2" w14:textId="77777777" w:rsidR="00450C92" w:rsidRDefault="00000000">
      <w:pPr>
        <w:spacing w:after="100" w:line="224" w:lineRule="auto"/>
        <w:ind w:firstLine="360"/>
        <w:jc w:val="both"/>
      </w:pPr>
      <w:r>
        <w:t xml:space="preserve">Temperature data were imported into MATLAB, resampled onto a uniform 5-minute grid, smoothed, differentiated and heat-loss corrected. Because the specific heat of paste decreases as hydration advances, a degree-of-hydration-dependent heat capacity was applied following De Schutter and </w:t>
      </w:r>
      <w:proofErr w:type="spellStart"/>
      <w:r>
        <w:t>Taerwe</w:t>
      </w:r>
      <w:proofErr w:type="spellEnd"/>
      <w:r>
        <w:t>, with the degree of hydration r(t) = Q(t)/Qₘₐₓ obtained from the heat curve and the apparent capacity scaled as Cₐ(r) = 1160.67 (1.5 − 0.5 r). The corrected heat-generation-rate curve, which displays an early aluminate shoulder and a dominant silicate peak, was resolved with a two-component Gaussian model:</w:t>
      </w:r>
    </w:p>
    <w:p w14:paraId="625452A4" w14:textId="77777777" w:rsidR="00450C92" w:rsidRDefault="00000000">
      <w:pPr>
        <w:tabs>
          <w:tab w:val="right" w:pos="9360"/>
        </w:tabs>
        <w:spacing w:before="30" w:after="30"/>
      </w:pPr>
      <w:r>
        <w:t xml:space="preserve">        </w:t>
      </w:r>
      <w:r>
        <w:rPr>
          <w:i/>
          <w:iCs/>
        </w:rPr>
        <w:t>q(t) = A</w:t>
      </w:r>
      <w:r>
        <w:rPr>
          <w:i/>
          <w:iCs/>
          <w:vertAlign w:val="subscript"/>
        </w:rPr>
        <w:t>1</w:t>
      </w:r>
      <w:r>
        <w:rPr>
          <w:i/>
          <w:iCs/>
        </w:rPr>
        <w:t xml:space="preserve"> exp[−((t−μ</w:t>
      </w:r>
      <w:r>
        <w:rPr>
          <w:i/>
          <w:iCs/>
          <w:vertAlign w:val="subscript"/>
        </w:rPr>
        <w:t>1</w:t>
      </w:r>
      <w:r>
        <w:rPr>
          <w:i/>
          <w:iCs/>
        </w:rPr>
        <w:t>)/σ</w:t>
      </w:r>
      <w:r>
        <w:rPr>
          <w:i/>
          <w:iCs/>
          <w:vertAlign w:val="subscript"/>
        </w:rPr>
        <w:t>1</w:t>
      </w:r>
      <w:r>
        <w:rPr>
          <w:i/>
          <w:iCs/>
        </w:rPr>
        <w:t>)²] + A</w:t>
      </w:r>
      <w:r>
        <w:rPr>
          <w:i/>
          <w:iCs/>
          <w:vertAlign w:val="subscript"/>
        </w:rPr>
        <w:t>2</w:t>
      </w:r>
      <w:r>
        <w:rPr>
          <w:i/>
          <w:iCs/>
        </w:rPr>
        <w:t xml:space="preserve"> exp[−((t−μ</w:t>
      </w:r>
      <w:r>
        <w:rPr>
          <w:i/>
          <w:iCs/>
          <w:vertAlign w:val="subscript"/>
        </w:rPr>
        <w:t>2</w:t>
      </w:r>
      <w:r>
        <w:rPr>
          <w:i/>
          <w:iCs/>
        </w:rPr>
        <w:t>)/σ</w:t>
      </w:r>
      <w:r>
        <w:rPr>
          <w:i/>
          <w:iCs/>
          <w:vertAlign w:val="subscript"/>
        </w:rPr>
        <w:t>2</w:t>
      </w:r>
      <w:r>
        <w:rPr>
          <w:i/>
          <w:iCs/>
        </w:rPr>
        <w:t>)²]</w:t>
      </w:r>
      <w:r>
        <w:tab/>
        <w:t>(3)</w:t>
      </w:r>
    </w:p>
    <w:p w14:paraId="57F35982" w14:textId="77777777" w:rsidR="00450C92" w:rsidRDefault="00000000">
      <w:pPr>
        <w:spacing w:after="100" w:line="224" w:lineRule="auto"/>
        <w:jc w:val="both"/>
      </w:pPr>
      <w:r>
        <w:t>The cumulative-heat curve was fitted with a sixth-order polynomial to provide a smooth, differentiable function for finite-element thermal analysis:</w:t>
      </w:r>
    </w:p>
    <w:p w14:paraId="2DBDBAB3" w14:textId="77777777" w:rsidR="00450C92" w:rsidRDefault="00000000">
      <w:pPr>
        <w:tabs>
          <w:tab w:val="right" w:pos="9360"/>
        </w:tabs>
        <w:spacing w:before="30" w:after="30"/>
      </w:pPr>
      <w:r>
        <w:t xml:space="preserve">        </w:t>
      </w:r>
      <w:r>
        <w:rPr>
          <w:i/>
          <w:iCs/>
        </w:rPr>
        <w:t>Q(t) = c</w:t>
      </w:r>
      <w:r>
        <w:rPr>
          <w:i/>
          <w:iCs/>
          <w:vertAlign w:val="subscript"/>
        </w:rPr>
        <w:t>0</w:t>
      </w:r>
      <w:r>
        <w:rPr>
          <w:i/>
          <w:iCs/>
        </w:rPr>
        <w:t xml:space="preserve"> + c</w:t>
      </w:r>
      <w:r>
        <w:rPr>
          <w:i/>
          <w:iCs/>
          <w:vertAlign w:val="subscript"/>
        </w:rPr>
        <w:t>1</w:t>
      </w:r>
      <w:r>
        <w:rPr>
          <w:i/>
          <w:iCs/>
        </w:rPr>
        <w:t>t + c</w:t>
      </w:r>
      <w:r>
        <w:rPr>
          <w:i/>
          <w:iCs/>
          <w:vertAlign w:val="subscript"/>
        </w:rPr>
        <w:t>2</w:t>
      </w:r>
      <w:r>
        <w:rPr>
          <w:i/>
          <w:iCs/>
        </w:rPr>
        <w:t>t² + ··· + c</w:t>
      </w:r>
      <w:r>
        <w:rPr>
          <w:i/>
          <w:iCs/>
          <w:vertAlign w:val="subscript"/>
        </w:rPr>
        <w:t>6</w:t>
      </w:r>
      <w:r>
        <w:rPr>
          <w:i/>
          <w:iCs/>
        </w:rPr>
        <w:t>t⁶</w:t>
      </w:r>
      <w:r>
        <w:tab/>
        <w:t>(4)</w:t>
      </w:r>
    </w:p>
    <w:p w14:paraId="62B04323" w14:textId="77777777" w:rsidR="00450C92" w:rsidRDefault="00000000">
      <w:pPr>
        <w:spacing w:before="140" w:after="80"/>
      </w:pPr>
      <w:r>
        <w:rPr>
          <w:b/>
          <w:bCs/>
          <w:i/>
          <w:iCs/>
        </w:rPr>
        <w:t>2.5 Numerical Validation (VCCTL)</w:t>
      </w:r>
    </w:p>
    <w:p w14:paraId="1F0C74F3" w14:textId="77777777" w:rsidR="00450C92" w:rsidRDefault="00000000">
      <w:pPr>
        <w:spacing w:after="100" w:line="224" w:lineRule="auto"/>
        <w:ind w:firstLine="360"/>
        <w:jc w:val="both"/>
      </w:pPr>
      <w:r>
        <w:t>Hydration was simulated independently with the NIST VCCTL using XRD-derived clinker phase proportions, a water-to-cement ratio of 0.40 and isothermal conditions. Simulated degree of hydration and cumulative heat release were extracted and compared with the experiment at a common age of 19 h. Agreement was assessed from the relative difference between experimental and simulated cumulative heat and from reproduction of the cement ranking.</w:t>
      </w:r>
    </w:p>
    <w:p w14:paraId="3BEF62F2" w14:textId="77777777" w:rsidR="00450C92" w:rsidRDefault="00000000">
      <w:pPr>
        <w:spacing w:before="90" w:after="60"/>
      </w:pPr>
      <w:r>
        <w:rPr>
          <w:b/>
          <w:bCs/>
          <w:sz w:val="24"/>
          <w:szCs w:val="24"/>
        </w:rPr>
        <w:t>3. RESULTS AND DISCUSSION</w:t>
      </w:r>
    </w:p>
    <w:p w14:paraId="69B3C17E" w14:textId="77777777" w:rsidR="00450C92" w:rsidRDefault="00000000">
      <w:pPr>
        <w:spacing w:before="140" w:after="80"/>
      </w:pPr>
      <w:r>
        <w:rPr>
          <w:b/>
          <w:bCs/>
          <w:i/>
          <w:iCs/>
        </w:rPr>
        <w:t>3.1 Clinker Mineralogy</w:t>
      </w:r>
    </w:p>
    <w:p w14:paraId="3012E7F9" w14:textId="77777777" w:rsidR="00450C92" w:rsidRDefault="00000000">
      <w:pPr>
        <w:spacing w:after="100" w:line="224" w:lineRule="auto"/>
        <w:ind w:firstLine="360"/>
        <w:jc w:val="both"/>
      </w:pPr>
      <w:r>
        <w:lastRenderedPageBreak/>
        <w:t>The semi-quantitative phase compositions (Table 2, Fig. 1) follow a clear clinker-dilution sequence. CEM I 52.5 N has the highest alite (C₃S ≈ 58.8%) and essentially no inert filler, whereas CEM II B-M 42.5 N has the lowest alite (≈ 42.4%) and the largest filler/SCM fraction (≈ 30.3%). The two CEM II A-M cements are intermediate and nearly identical in clinker content, consistent with the manufacturer’s statement that the rapid-hardening grade differs chiefly in fineness, not composition. Because C₃S and C₃A are the principal heat-producing phases, this mineralogical ordering anticipates the calorimetric ranking discussed below.</w:t>
      </w:r>
    </w:p>
    <w:p w14:paraId="605A1632" w14:textId="77777777" w:rsidR="00450C92" w:rsidRDefault="00000000">
      <w:pPr>
        <w:spacing w:before="140" w:after="60"/>
        <w:jc w:val="center"/>
      </w:pPr>
      <w:r>
        <w:rPr>
          <w:b/>
          <w:bCs/>
          <w:sz w:val="18"/>
          <w:szCs w:val="18"/>
        </w:rPr>
        <w:t>Table 2. Semi-quantitative XRD phase composition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1650"/>
        <w:gridCol w:w="1650"/>
        <w:gridCol w:w="1650"/>
        <w:gridCol w:w="1650"/>
      </w:tblGrid>
      <w:tr w:rsidR="00450C92" w14:paraId="2EAE2EBA" w14:textId="77777777" w:rsidTr="005E7061">
        <w:tblPrEx>
          <w:tblCellMar>
            <w:top w:w="0" w:type="dxa"/>
            <w:bottom w:w="0" w:type="dxa"/>
          </w:tblCellMar>
        </w:tblPrEx>
        <w:trPr>
          <w:tblHeader/>
        </w:trPr>
        <w:tc>
          <w:tcPr>
            <w:tcW w:w="2760" w:type="dxa"/>
            <w:tcBorders>
              <w:top w:val="single" w:sz="1" w:space="0" w:color="999999"/>
              <w:left w:val="single" w:sz="1" w:space="0" w:color="999999"/>
              <w:bottom w:val="single" w:sz="1" w:space="0" w:color="999999"/>
              <w:right w:val="single" w:sz="1" w:space="0" w:color="999999"/>
            </w:tcBorders>
            <w:shd w:val="clear" w:color="auto" w:fill="FFFFFF" w:themeFill="background1"/>
            <w:tcMar>
              <w:top w:w="40" w:type="dxa"/>
              <w:left w:w="80" w:type="dxa"/>
              <w:bottom w:w="40" w:type="dxa"/>
              <w:right w:w="80" w:type="dxa"/>
            </w:tcMar>
            <w:vAlign w:val="center"/>
          </w:tcPr>
          <w:p w14:paraId="7B1254BA" w14:textId="77777777" w:rsidR="00450C92" w:rsidRDefault="00000000">
            <w:pPr>
              <w:jc w:val="center"/>
            </w:pPr>
            <w:r>
              <w:rPr>
                <w:b/>
                <w:bCs/>
                <w:sz w:val="18"/>
                <w:szCs w:val="18"/>
              </w:rPr>
              <w:t>Phase</w:t>
            </w:r>
          </w:p>
        </w:tc>
        <w:tc>
          <w:tcPr>
            <w:tcW w:w="1650" w:type="dxa"/>
            <w:tcBorders>
              <w:top w:val="single" w:sz="1" w:space="0" w:color="999999"/>
              <w:left w:val="single" w:sz="1" w:space="0" w:color="999999"/>
              <w:bottom w:val="single" w:sz="1" w:space="0" w:color="999999"/>
              <w:right w:val="single" w:sz="1" w:space="0" w:color="999999"/>
            </w:tcBorders>
            <w:shd w:val="clear" w:color="auto" w:fill="FFFFFF" w:themeFill="background1"/>
            <w:tcMar>
              <w:top w:w="40" w:type="dxa"/>
              <w:left w:w="80" w:type="dxa"/>
              <w:bottom w:w="40" w:type="dxa"/>
              <w:right w:w="80" w:type="dxa"/>
            </w:tcMar>
            <w:vAlign w:val="center"/>
          </w:tcPr>
          <w:p w14:paraId="0949583D" w14:textId="77777777" w:rsidR="00450C92" w:rsidRDefault="00000000">
            <w:pPr>
              <w:jc w:val="center"/>
            </w:pPr>
            <w:r>
              <w:rPr>
                <w:b/>
                <w:bCs/>
                <w:sz w:val="18"/>
                <w:szCs w:val="18"/>
              </w:rPr>
              <w:t>CEM I 52.5 N</w:t>
            </w:r>
          </w:p>
        </w:tc>
        <w:tc>
          <w:tcPr>
            <w:tcW w:w="1650" w:type="dxa"/>
            <w:tcBorders>
              <w:top w:val="single" w:sz="1" w:space="0" w:color="999999"/>
              <w:left w:val="single" w:sz="1" w:space="0" w:color="999999"/>
              <w:bottom w:val="single" w:sz="1" w:space="0" w:color="999999"/>
              <w:right w:val="single" w:sz="1" w:space="0" w:color="999999"/>
            </w:tcBorders>
            <w:shd w:val="clear" w:color="auto" w:fill="FFFFFF" w:themeFill="background1"/>
            <w:tcMar>
              <w:top w:w="40" w:type="dxa"/>
              <w:left w:w="80" w:type="dxa"/>
              <w:bottom w:w="40" w:type="dxa"/>
              <w:right w:w="80" w:type="dxa"/>
            </w:tcMar>
            <w:vAlign w:val="center"/>
          </w:tcPr>
          <w:p w14:paraId="5DCAC897" w14:textId="77777777" w:rsidR="00450C92" w:rsidRDefault="00000000">
            <w:pPr>
              <w:jc w:val="center"/>
            </w:pPr>
            <w:r>
              <w:rPr>
                <w:b/>
                <w:bCs/>
                <w:sz w:val="18"/>
                <w:szCs w:val="18"/>
              </w:rPr>
              <w:t>CEM II A-M 42.5 R</w:t>
            </w:r>
          </w:p>
        </w:tc>
        <w:tc>
          <w:tcPr>
            <w:tcW w:w="1650" w:type="dxa"/>
            <w:tcBorders>
              <w:top w:val="single" w:sz="1" w:space="0" w:color="999999"/>
              <w:left w:val="single" w:sz="1" w:space="0" w:color="999999"/>
              <w:bottom w:val="single" w:sz="1" w:space="0" w:color="999999"/>
              <w:right w:val="single" w:sz="1" w:space="0" w:color="999999"/>
            </w:tcBorders>
            <w:shd w:val="clear" w:color="auto" w:fill="FFFFFF" w:themeFill="background1"/>
            <w:tcMar>
              <w:top w:w="40" w:type="dxa"/>
              <w:left w:w="80" w:type="dxa"/>
              <w:bottom w:w="40" w:type="dxa"/>
              <w:right w:w="80" w:type="dxa"/>
            </w:tcMar>
            <w:vAlign w:val="center"/>
          </w:tcPr>
          <w:p w14:paraId="477E3E0B" w14:textId="77777777" w:rsidR="00450C92" w:rsidRDefault="00000000">
            <w:pPr>
              <w:jc w:val="center"/>
            </w:pPr>
            <w:r>
              <w:rPr>
                <w:b/>
                <w:bCs/>
                <w:sz w:val="18"/>
                <w:szCs w:val="18"/>
              </w:rPr>
              <w:t>CEM II A-M 42.5 N</w:t>
            </w:r>
          </w:p>
        </w:tc>
        <w:tc>
          <w:tcPr>
            <w:tcW w:w="1650" w:type="dxa"/>
            <w:tcBorders>
              <w:top w:val="single" w:sz="1" w:space="0" w:color="999999"/>
              <w:left w:val="single" w:sz="1" w:space="0" w:color="999999"/>
              <w:bottom w:val="single" w:sz="1" w:space="0" w:color="999999"/>
              <w:right w:val="single" w:sz="1" w:space="0" w:color="999999"/>
            </w:tcBorders>
            <w:shd w:val="clear" w:color="auto" w:fill="FFFFFF" w:themeFill="background1"/>
            <w:tcMar>
              <w:top w:w="40" w:type="dxa"/>
              <w:left w:w="80" w:type="dxa"/>
              <w:bottom w:w="40" w:type="dxa"/>
              <w:right w:w="80" w:type="dxa"/>
            </w:tcMar>
            <w:vAlign w:val="center"/>
          </w:tcPr>
          <w:p w14:paraId="511F0922" w14:textId="77777777" w:rsidR="00450C92" w:rsidRDefault="00000000">
            <w:pPr>
              <w:jc w:val="center"/>
            </w:pPr>
            <w:r>
              <w:rPr>
                <w:b/>
                <w:bCs/>
                <w:sz w:val="18"/>
                <w:szCs w:val="18"/>
              </w:rPr>
              <w:t>CEM II B-M 42.5 N</w:t>
            </w:r>
          </w:p>
        </w:tc>
      </w:tr>
      <w:tr w:rsidR="00450C92" w14:paraId="2BFA6AA7" w14:textId="77777777">
        <w:tblPrEx>
          <w:tblCellMar>
            <w:top w:w="0" w:type="dxa"/>
            <w:bottom w:w="0" w:type="dxa"/>
          </w:tblCellMar>
        </w:tblPrEx>
        <w:tc>
          <w:tcPr>
            <w:tcW w:w="27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B435316" w14:textId="77777777" w:rsidR="00450C92" w:rsidRDefault="00000000">
            <w:r>
              <w:rPr>
                <w:sz w:val="18"/>
                <w:szCs w:val="18"/>
              </w:rPr>
              <w:t>C₃S (Alite)</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0D751B4" w14:textId="77777777" w:rsidR="00450C92" w:rsidRDefault="00000000">
            <w:pPr>
              <w:jc w:val="center"/>
            </w:pPr>
            <w:r>
              <w:rPr>
                <w:sz w:val="18"/>
                <w:szCs w:val="18"/>
              </w:rPr>
              <w:t>58.8</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F6630A5" w14:textId="77777777" w:rsidR="00450C92" w:rsidRDefault="00000000">
            <w:pPr>
              <w:jc w:val="center"/>
            </w:pPr>
            <w:r>
              <w:rPr>
                <w:sz w:val="18"/>
                <w:szCs w:val="18"/>
              </w:rPr>
              <w:t>51.5</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E650400" w14:textId="77777777" w:rsidR="00450C92" w:rsidRDefault="00000000">
            <w:pPr>
              <w:jc w:val="center"/>
            </w:pPr>
            <w:r>
              <w:rPr>
                <w:sz w:val="18"/>
                <w:szCs w:val="18"/>
              </w:rPr>
              <w:t>50.7</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45780F2" w14:textId="77777777" w:rsidR="00450C92" w:rsidRDefault="00000000">
            <w:pPr>
              <w:jc w:val="center"/>
            </w:pPr>
            <w:r>
              <w:rPr>
                <w:sz w:val="18"/>
                <w:szCs w:val="18"/>
              </w:rPr>
              <w:t>42.4</w:t>
            </w:r>
          </w:p>
        </w:tc>
      </w:tr>
      <w:tr w:rsidR="00450C92" w14:paraId="737656C0" w14:textId="77777777">
        <w:tblPrEx>
          <w:tblCellMar>
            <w:top w:w="0" w:type="dxa"/>
            <w:bottom w:w="0" w:type="dxa"/>
          </w:tblCellMar>
        </w:tblPrEx>
        <w:tc>
          <w:tcPr>
            <w:tcW w:w="27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0DA5EFC" w14:textId="77777777" w:rsidR="00450C92" w:rsidRDefault="00000000">
            <w:r>
              <w:rPr>
                <w:sz w:val="18"/>
                <w:szCs w:val="18"/>
              </w:rPr>
              <w:t>C₂S (Belite)</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47ACCFB" w14:textId="77777777" w:rsidR="00450C92" w:rsidRDefault="00000000">
            <w:pPr>
              <w:jc w:val="center"/>
            </w:pPr>
            <w:r>
              <w:rPr>
                <w:sz w:val="18"/>
                <w:szCs w:val="18"/>
              </w:rPr>
              <w:t>17.6</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6166E15" w14:textId="77777777" w:rsidR="00450C92" w:rsidRDefault="00000000">
            <w:pPr>
              <w:jc w:val="center"/>
            </w:pPr>
            <w:r>
              <w:rPr>
                <w:sz w:val="18"/>
                <w:szCs w:val="18"/>
              </w:rPr>
              <w:t>14.6</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589FE9B" w14:textId="77777777" w:rsidR="00450C92" w:rsidRDefault="00000000">
            <w:pPr>
              <w:jc w:val="center"/>
            </w:pPr>
            <w:r>
              <w:rPr>
                <w:sz w:val="18"/>
                <w:szCs w:val="18"/>
              </w:rPr>
              <w:t>14.9</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9F97E7C" w14:textId="77777777" w:rsidR="00450C92" w:rsidRDefault="00000000">
            <w:pPr>
              <w:jc w:val="center"/>
            </w:pPr>
            <w:r>
              <w:rPr>
                <w:sz w:val="18"/>
                <w:szCs w:val="18"/>
              </w:rPr>
              <w:t>12.1</w:t>
            </w:r>
          </w:p>
        </w:tc>
      </w:tr>
      <w:tr w:rsidR="00450C92" w14:paraId="7AF2E272" w14:textId="77777777">
        <w:tblPrEx>
          <w:tblCellMar>
            <w:top w:w="0" w:type="dxa"/>
            <w:bottom w:w="0" w:type="dxa"/>
          </w:tblCellMar>
        </w:tblPrEx>
        <w:tc>
          <w:tcPr>
            <w:tcW w:w="27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DEAFFC2" w14:textId="77777777" w:rsidR="00450C92" w:rsidRDefault="00000000">
            <w:r>
              <w:rPr>
                <w:sz w:val="18"/>
                <w:szCs w:val="18"/>
              </w:rPr>
              <w:t>C₃A (Aluminate)</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B6280A1" w14:textId="77777777" w:rsidR="00450C92" w:rsidRDefault="00000000">
            <w:pPr>
              <w:jc w:val="center"/>
            </w:pPr>
            <w:r>
              <w:rPr>
                <w:sz w:val="18"/>
                <w:szCs w:val="18"/>
              </w:rPr>
              <w:t>9.8</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CED8171" w14:textId="77777777" w:rsidR="00450C92" w:rsidRDefault="00000000">
            <w:pPr>
              <w:jc w:val="center"/>
            </w:pPr>
            <w:r>
              <w:rPr>
                <w:sz w:val="18"/>
                <w:szCs w:val="18"/>
              </w:rPr>
              <w:t>7.8</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E8BCDE6" w14:textId="77777777" w:rsidR="00450C92" w:rsidRDefault="00000000">
            <w:pPr>
              <w:jc w:val="center"/>
            </w:pPr>
            <w:r>
              <w:rPr>
                <w:sz w:val="18"/>
                <w:szCs w:val="18"/>
              </w:rPr>
              <w:t>7.0</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466E885" w14:textId="77777777" w:rsidR="00450C92" w:rsidRDefault="00000000">
            <w:pPr>
              <w:jc w:val="center"/>
            </w:pPr>
            <w:r>
              <w:rPr>
                <w:sz w:val="18"/>
                <w:szCs w:val="18"/>
              </w:rPr>
              <w:t>6.1</w:t>
            </w:r>
          </w:p>
        </w:tc>
      </w:tr>
      <w:tr w:rsidR="00450C92" w14:paraId="28091DCE" w14:textId="77777777">
        <w:tblPrEx>
          <w:tblCellMar>
            <w:top w:w="0" w:type="dxa"/>
            <w:bottom w:w="0" w:type="dxa"/>
          </w:tblCellMar>
        </w:tblPrEx>
        <w:tc>
          <w:tcPr>
            <w:tcW w:w="27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2E62F17" w14:textId="77777777" w:rsidR="00450C92" w:rsidRDefault="00000000">
            <w:r>
              <w:rPr>
                <w:sz w:val="18"/>
                <w:szCs w:val="18"/>
              </w:rPr>
              <w:t>C₄AF (Ferrite)</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3A972F9" w14:textId="77777777" w:rsidR="00450C92" w:rsidRDefault="00000000">
            <w:pPr>
              <w:jc w:val="center"/>
            </w:pPr>
            <w:r>
              <w:rPr>
                <w:sz w:val="18"/>
                <w:szCs w:val="18"/>
              </w:rPr>
              <w:t>9.8</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6ACB0B1" w14:textId="77777777" w:rsidR="00450C92" w:rsidRDefault="00000000">
            <w:pPr>
              <w:jc w:val="center"/>
            </w:pPr>
            <w:r>
              <w:rPr>
                <w:sz w:val="18"/>
                <w:szCs w:val="18"/>
              </w:rPr>
              <w:t>7.8</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A036844" w14:textId="77777777" w:rsidR="00450C92" w:rsidRDefault="00000000">
            <w:pPr>
              <w:jc w:val="center"/>
            </w:pPr>
            <w:r>
              <w:rPr>
                <w:sz w:val="18"/>
                <w:szCs w:val="18"/>
              </w:rPr>
              <w:t>7.0</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FC3DD2E" w14:textId="77777777" w:rsidR="00450C92" w:rsidRDefault="00000000">
            <w:pPr>
              <w:jc w:val="center"/>
            </w:pPr>
            <w:r>
              <w:rPr>
                <w:sz w:val="18"/>
                <w:szCs w:val="18"/>
              </w:rPr>
              <w:t>6.1</w:t>
            </w:r>
          </w:p>
        </w:tc>
      </w:tr>
      <w:tr w:rsidR="00450C92" w14:paraId="66408C29" w14:textId="77777777">
        <w:tblPrEx>
          <w:tblCellMar>
            <w:top w:w="0" w:type="dxa"/>
            <w:bottom w:w="0" w:type="dxa"/>
          </w:tblCellMar>
        </w:tblPrEx>
        <w:tc>
          <w:tcPr>
            <w:tcW w:w="27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0C9377D" w14:textId="77777777" w:rsidR="00450C92" w:rsidRDefault="00000000">
            <w:r>
              <w:rPr>
                <w:sz w:val="18"/>
                <w:szCs w:val="18"/>
              </w:rPr>
              <w:t>Gypsum</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2626D1C" w14:textId="77777777" w:rsidR="00450C92" w:rsidRDefault="00000000">
            <w:pPr>
              <w:jc w:val="center"/>
            </w:pPr>
            <w:r>
              <w:rPr>
                <w:sz w:val="18"/>
                <w:szCs w:val="18"/>
              </w:rPr>
              <w:t>3.9</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5009593" w14:textId="77777777" w:rsidR="00450C92" w:rsidRDefault="00000000">
            <w:pPr>
              <w:jc w:val="center"/>
            </w:pPr>
            <w:r>
              <w:rPr>
                <w:sz w:val="18"/>
                <w:szCs w:val="18"/>
              </w:rPr>
              <w:t>3.9</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2771BDF" w14:textId="77777777" w:rsidR="00450C92" w:rsidRDefault="00000000">
            <w:pPr>
              <w:jc w:val="center"/>
            </w:pPr>
            <w:r>
              <w:rPr>
                <w:sz w:val="18"/>
                <w:szCs w:val="18"/>
              </w:rPr>
              <w:t>3.5</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E74E9F6" w14:textId="77777777" w:rsidR="00450C92" w:rsidRDefault="00000000">
            <w:pPr>
              <w:jc w:val="center"/>
            </w:pPr>
            <w:r>
              <w:rPr>
                <w:sz w:val="18"/>
                <w:szCs w:val="18"/>
              </w:rPr>
              <w:t>3.0</w:t>
            </w:r>
          </w:p>
        </w:tc>
      </w:tr>
      <w:tr w:rsidR="00450C92" w14:paraId="12D6BF2F" w14:textId="77777777">
        <w:tblPrEx>
          <w:tblCellMar>
            <w:top w:w="0" w:type="dxa"/>
            <w:bottom w:w="0" w:type="dxa"/>
          </w:tblCellMar>
        </w:tblPrEx>
        <w:tc>
          <w:tcPr>
            <w:tcW w:w="27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54DDC3B" w14:textId="77777777" w:rsidR="00450C92" w:rsidRDefault="00000000">
            <w:r>
              <w:rPr>
                <w:sz w:val="18"/>
                <w:szCs w:val="18"/>
              </w:rPr>
              <w:t>Filler / SCM</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706AD62" w14:textId="77777777" w:rsidR="00450C92" w:rsidRDefault="00000000">
            <w:pPr>
              <w:jc w:val="center"/>
            </w:pPr>
            <w:r>
              <w:rPr>
                <w:sz w:val="18"/>
                <w:szCs w:val="18"/>
              </w:rPr>
              <w:t>—</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6365C4C" w14:textId="77777777" w:rsidR="00450C92" w:rsidRDefault="00000000">
            <w:pPr>
              <w:jc w:val="center"/>
            </w:pPr>
            <w:r>
              <w:rPr>
                <w:sz w:val="18"/>
                <w:szCs w:val="18"/>
              </w:rPr>
              <w:t>14.4</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E7FA554" w14:textId="77777777" w:rsidR="00450C92" w:rsidRDefault="00000000">
            <w:pPr>
              <w:jc w:val="center"/>
            </w:pPr>
            <w:r>
              <w:rPr>
                <w:sz w:val="18"/>
                <w:szCs w:val="18"/>
              </w:rPr>
              <w:t>16.9</w:t>
            </w:r>
          </w:p>
        </w:tc>
        <w:tc>
          <w:tcPr>
            <w:tcW w:w="16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1F6598F" w14:textId="77777777" w:rsidR="00450C92" w:rsidRDefault="00000000">
            <w:pPr>
              <w:jc w:val="center"/>
            </w:pPr>
            <w:r>
              <w:rPr>
                <w:sz w:val="18"/>
                <w:szCs w:val="18"/>
              </w:rPr>
              <w:t>30.3</w:t>
            </w:r>
          </w:p>
        </w:tc>
      </w:tr>
    </w:tbl>
    <w:p w14:paraId="537127D8" w14:textId="77777777" w:rsidR="00450C92" w:rsidRDefault="00000000">
      <w:pPr>
        <w:keepNext/>
        <w:spacing w:before="60" w:after="10"/>
        <w:jc w:val="center"/>
      </w:pPr>
      <w:r>
        <w:rPr>
          <w:noProof/>
        </w:rPr>
        <w:drawing>
          <wp:inline distT="0" distB="0" distL="0" distR="0" wp14:anchorId="47866FBE" wp14:editId="0B79A322">
            <wp:extent cx="4095750" cy="2457450"/>
            <wp:effectExtent l="0" t="0" r="0" b="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095750" cy="2457450"/>
                    </a:xfrm>
                    <a:prstGeom prst="rect">
                      <a:avLst/>
                    </a:prstGeom>
                  </pic:spPr>
                </pic:pic>
              </a:graphicData>
            </a:graphic>
          </wp:inline>
        </w:drawing>
      </w:r>
    </w:p>
    <w:p w14:paraId="37126508" w14:textId="77777777" w:rsidR="00450C92" w:rsidRDefault="00000000">
      <w:pPr>
        <w:spacing w:before="40" w:after="90"/>
        <w:jc w:val="center"/>
      </w:pPr>
      <w:r>
        <w:rPr>
          <w:sz w:val="18"/>
          <w:szCs w:val="18"/>
        </w:rPr>
        <w:t>Fig. 1. Semi-quantitative XRD phase composition of the four cements, showing progressive clinker dilution from CEM I to CEM II B-M.</w:t>
      </w:r>
    </w:p>
    <w:p w14:paraId="57BABC65" w14:textId="77777777" w:rsidR="00450C92" w:rsidRDefault="00000000">
      <w:pPr>
        <w:spacing w:before="140" w:after="80"/>
      </w:pPr>
      <w:r>
        <w:rPr>
          <w:b/>
          <w:bCs/>
          <w:i/>
          <w:iCs/>
        </w:rPr>
        <w:t>3.2 Heat-Generation Rate</w:t>
      </w:r>
    </w:p>
    <w:p w14:paraId="31DA5C63" w14:textId="77777777" w:rsidR="00450C92" w:rsidRDefault="00000000">
      <w:pPr>
        <w:spacing w:after="100" w:line="224" w:lineRule="auto"/>
        <w:ind w:firstLine="360"/>
        <w:jc w:val="both"/>
      </w:pPr>
      <w:r>
        <w:t>The experimental specific heat-generation-rate curves (Fig. 2) show the characteristic early aluminate shoulder followed by the dominant silicate peak. CEM I 52.5 N exhibits the earliest and most intense main peak (≈ 3.0 J·min⁻¹·g⁻¹ near 290 min). CEM II A-M 42.5 R follows with a broad, high silicate peak, whereas the normal-strength CEM II A-M 42.5 N and CEM II B-M 42.5 N show progressively lower and more retarded peaks, reflecting clinker dilution and slower kinetics. The two-component Gaussian model reproduced the aluminate (G₁) and silicate (G₂) contributions; the fitted parameters and terminal cumulative heat are summarized in Table 3.</w:t>
      </w:r>
    </w:p>
    <w:p w14:paraId="211718CF" w14:textId="77777777" w:rsidR="00450C92" w:rsidRDefault="00000000">
      <w:pPr>
        <w:keepNext/>
        <w:spacing w:before="60" w:after="10"/>
        <w:jc w:val="center"/>
      </w:pPr>
      <w:r>
        <w:rPr>
          <w:noProof/>
        </w:rPr>
        <w:lastRenderedPageBreak/>
        <w:drawing>
          <wp:inline distT="0" distB="0" distL="0" distR="0" wp14:anchorId="5473F5B7" wp14:editId="7FA64751">
            <wp:extent cx="4972050" cy="2486025"/>
            <wp:effectExtent l="0" t="0" r="0" b="0"/>
            <wp:docPr id="798177523"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972050" cy="2486025"/>
                    </a:xfrm>
                    <a:prstGeom prst="rect">
                      <a:avLst/>
                    </a:prstGeom>
                  </pic:spPr>
                </pic:pic>
              </a:graphicData>
            </a:graphic>
          </wp:inline>
        </w:drawing>
      </w:r>
    </w:p>
    <w:p w14:paraId="0E1F84AF" w14:textId="77777777" w:rsidR="00450C92" w:rsidRDefault="00000000">
      <w:pPr>
        <w:spacing w:before="40" w:after="90"/>
        <w:jc w:val="center"/>
      </w:pPr>
      <w:r>
        <w:rPr>
          <w:sz w:val="18"/>
          <w:szCs w:val="18"/>
        </w:rPr>
        <w:t>Fig. 2. Experimental heat-generation rate for the four cements (semi-adiabatic, w/c = 0.40).</w:t>
      </w:r>
    </w:p>
    <w:p w14:paraId="6A31EBFD" w14:textId="77777777" w:rsidR="00450C92" w:rsidRDefault="00000000">
      <w:pPr>
        <w:spacing w:before="140" w:after="60"/>
        <w:jc w:val="center"/>
      </w:pPr>
      <w:r>
        <w:rPr>
          <w:b/>
          <w:bCs/>
          <w:sz w:val="18"/>
          <w:szCs w:val="18"/>
        </w:rPr>
        <w:t>Table 3. Two-component Gaussian parameters and terminal cumulative heat.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0"/>
        <w:gridCol w:w="1550"/>
        <w:gridCol w:w="1550"/>
        <w:gridCol w:w="1550"/>
        <w:gridCol w:w="1550"/>
      </w:tblGrid>
      <w:tr w:rsidR="00450C92" w14:paraId="0B232912" w14:textId="77777777" w:rsidTr="005E7061">
        <w:tblPrEx>
          <w:tblCellMar>
            <w:top w:w="0" w:type="dxa"/>
            <w:bottom w:w="0" w:type="dxa"/>
          </w:tblCellMar>
        </w:tblPrEx>
        <w:trPr>
          <w:tblHeader/>
        </w:trPr>
        <w:tc>
          <w:tcPr>
            <w:tcW w:w="3160" w:type="dxa"/>
            <w:tcBorders>
              <w:top w:val="single" w:sz="1" w:space="0" w:color="999999"/>
              <w:left w:val="single" w:sz="1" w:space="0" w:color="999999"/>
              <w:bottom w:val="single" w:sz="1" w:space="0" w:color="999999"/>
              <w:right w:val="single" w:sz="1" w:space="0" w:color="999999"/>
            </w:tcBorders>
            <w:shd w:val="clear" w:color="auto" w:fill="FFFFFF" w:themeFill="background1"/>
            <w:tcMar>
              <w:top w:w="40" w:type="dxa"/>
              <w:left w:w="80" w:type="dxa"/>
              <w:bottom w:w="40" w:type="dxa"/>
              <w:right w:w="80" w:type="dxa"/>
            </w:tcMar>
            <w:vAlign w:val="center"/>
          </w:tcPr>
          <w:p w14:paraId="18372E84" w14:textId="77777777" w:rsidR="00450C92" w:rsidRDefault="00000000">
            <w:pPr>
              <w:jc w:val="center"/>
            </w:pPr>
            <w:r>
              <w:rPr>
                <w:b/>
                <w:bCs/>
                <w:sz w:val="18"/>
                <w:szCs w:val="18"/>
              </w:rPr>
              <w:t>Parameter</w:t>
            </w:r>
          </w:p>
        </w:tc>
        <w:tc>
          <w:tcPr>
            <w:tcW w:w="1550" w:type="dxa"/>
            <w:tcBorders>
              <w:top w:val="single" w:sz="1" w:space="0" w:color="999999"/>
              <w:left w:val="single" w:sz="1" w:space="0" w:color="999999"/>
              <w:bottom w:val="single" w:sz="1" w:space="0" w:color="999999"/>
              <w:right w:val="single" w:sz="1" w:space="0" w:color="999999"/>
            </w:tcBorders>
            <w:shd w:val="clear" w:color="auto" w:fill="FFFFFF" w:themeFill="background1"/>
            <w:tcMar>
              <w:top w:w="40" w:type="dxa"/>
              <w:left w:w="80" w:type="dxa"/>
              <w:bottom w:w="40" w:type="dxa"/>
              <w:right w:w="80" w:type="dxa"/>
            </w:tcMar>
            <w:vAlign w:val="center"/>
          </w:tcPr>
          <w:p w14:paraId="18003D1F" w14:textId="77777777" w:rsidR="00450C92" w:rsidRDefault="00000000">
            <w:pPr>
              <w:jc w:val="center"/>
            </w:pPr>
            <w:r>
              <w:rPr>
                <w:b/>
                <w:bCs/>
                <w:sz w:val="18"/>
                <w:szCs w:val="18"/>
              </w:rPr>
              <w:t>CEM I 52.5 N</w:t>
            </w:r>
          </w:p>
        </w:tc>
        <w:tc>
          <w:tcPr>
            <w:tcW w:w="1550" w:type="dxa"/>
            <w:tcBorders>
              <w:top w:val="single" w:sz="1" w:space="0" w:color="999999"/>
              <w:left w:val="single" w:sz="1" w:space="0" w:color="999999"/>
              <w:bottom w:val="single" w:sz="1" w:space="0" w:color="999999"/>
              <w:right w:val="single" w:sz="1" w:space="0" w:color="999999"/>
            </w:tcBorders>
            <w:shd w:val="clear" w:color="auto" w:fill="FFFFFF" w:themeFill="background1"/>
            <w:tcMar>
              <w:top w:w="40" w:type="dxa"/>
              <w:left w:w="80" w:type="dxa"/>
              <w:bottom w:w="40" w:type="dxa"/>
              <w:right w:w="80" w:type="dxa"/>
            </w:tcMar>
            <w:vAlign w:val="center"/>
          </w:tcPr>
          <w:p w14:paraId="5C358675" w14:textId="77777777" w:rsidR="00450C92" w:rsidRDefault="00000000">
            <w:pPr>
              <w:jc w:val="center"/>
            </w:pPr>
            <w:r>
              <w:rPr>
                <w:b/>
                <w:bCs/>
                <w:sz w:val="18"/>
                <w:szCs w:val="18"/>
              </w:rPr>
              <w:t>CEM II A-M 42.5 R</w:t>
            </w:r>
          </w:p>
        </w:tc>
        <w:tc>
          <w:tcPr>
            <w:tcW w:w="1550" w:type="dxa"/>
            <w:tcBorders>
              <w:top w:val="single" w:sz="1" w:space="0" w:color="999999"/>
              <w:left w:val="single" w:sz="1" w:space="0" w:color="999999"/>
              <w:bottom w:val="single" w:sz="1" w:space="0" w:color="999999"/>
              <w:right w:val="single" w:sz="1" w:space="0" w:color="999999"/>
            </w:tcBorders>
            <w:shd w:val="clear" w:color="auto" w:fill="FFFFFF" w:themeFill="background1"/>
            <w:tcMar>
              <w:top w:w="40" w:type="dxa"/>
              <w:left w:w="80" w:type="dxa"/>
              <w:bottom w:w="40" w:type="dxa"/>
              <w:right w:w="80" w:type="dxa"/>
            </w:tcMar>
            <w:vAlign w:val="center"/>
          </w:tcPr>
          <w:p w14:paraId="0C741930" w14:textId="77777777" w:rsidR="00450C92" w:rsidRDefault="00000000">
            <w:pPr>
              <w:jc w:val="center"/>
            </w:pPr>
            <w:r>
              <w:rPr>
                <w:b/>
                <w:bCs/>
                <w:sz w:val="18"/>
                <w:szCs w:val="18"/>
              </w:rPr>
              <w:t>CEM II A-M 42.5 N</w:t>
            </w:r>
          </w:p>
        </w:tc>
        <w:tc>
          <w:tcPr>
            <w:tcW w:w="1550" w:type="dxa"/>
            <w:tcBorders>
              <w:top w:val="single" w:sz="1" w:space="0" w:color="999999"/>
              <w:left w:val="single" w:sz="1" w:space="0" w:color="999999"/>
              <w:bottom w:val="single" w:sz="1" w:space="0" w:color="999999"/>
              <w:right w:val="single" w:sz="1" w:space="0" w:color="999999"/>
            </w:tcBorders>
            <w:shd w:val="clear" w:color="auto" w:fill="FFFFFF" w:themeFill="background1"/>
            <w:tcMar>
              <w:top w:w="40" w:type="dxa"/>
              <w:left w:w="80" w:type="dxa"/>
              <w:bottom w:w="40" w:type="dxa"/>
              <w:right w:w="80" w:type="dxa"/>
            </w:tcMar>
            <w:vAlign w:val="center"/>
          </w:tcPr>
          <w:p w14:paraId="5CF70261" w14:textId="77777777" w:rsidR="00450C92" w:rsidRDefault="00000000">
            <w:pPr>
              <w:jc w:val="center"/>
            </w:pPr>
            <w:r>
              <w:rPr>
                <w:b/>
                <w:bCs/>
                <w:sz w:val="18"/>
                <w:szCs w:val="18"/>
              </w:rPr>
              <w:t>CEM II B-M 42.5 N</w:t>
            </w:r>
          </w:p>
        </w:tc>
      </w:tr>
      <w:tr w:rsidR="00450C92" w14:paraId="45AFB035" w14:textId="77777777">
        <w:tblPrEx>
          <w:tblCellMar>
            <w:top w:w="0" w:type="dxa"/>
            <w:bottom w:w="0" w:type="dxa"/>
          </w:tblCellMar>
        </w:tblPrEx>
        <w:tc>
          <w:tcPr>
            <w:tcW w:w="3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EEB453E" w14:textId="77777777" w:rsidR="00450C92" w:rsidRDefault="00000000">
            <w:r>
              <w:rPr>
                <w:sz w:val="18"/>
                <w:szCs w:val="18"/>
              </w:rPr>
              <w:t>G₁ amplitude (J·min⁻¹·g⁻¹)</w:t>
            </w:r>
          </w:p>
        </w:tc>
        <w:tc>
          <w:tcPr>
            <w:tcW w:w="15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2CC5416" w14:textId="77777777" w:rsidR="00450C92" w:rsidRDefault="00000000">
            <w:pPr>
              <w:jc w:val="center"/>
            </w:pPr>
            <w:r>
              <w:rPr>
                <w:sz w:val="18"/>
                <w:szCs w:val="18"/>
              </w:rPr>
              <w:t>0.40–0.45</w:t>
            </w:r>
          </w:p>
        </w:tc>
        <w:tc>
          <w:tcPr>
            <w:tcW w:w="15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3C28D6E" w14:textId="77777777" w:rsidR="00450C92" w:rsidRDefault="00000000">
            <w:pPr>
              <w:jc w:val="center"/>
            </w:pPr>
            <w:r>
              <w:rPr>
                <w:sz w:val="18"/>
                <w:szCs w:val="18"/>
              </w:rPr>
              <w:t>0.30–0.40</w:t>
            </w:r>
          </w:p>
        </w:tc>
        <w:tc>
          <w:tcPr>
            <w:tcW w:w="15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9B8B312" w14:textId="77777777" w:rsidR="00450C92" w:rsidRDefault="00000000">
            <w:pPr>
              <w:jc w:val="center"/>
            </w:pPr>
            <w:r>
              <w:rPr>
                <w:sz w:val="18"/>
                <w:szCs w:val="18"/>
              </w:rPr>
              <w:t>0.15–0.20</w:t>
            </w:r>
          </w:p>
        </w:tc>
        <w:tc>
          <w:tcPr>
            <w:tcW w:w="15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DBA788F" w14:textId="77777777" w:rsidR="00450C92" w:rsidRDefault="00000000">
            <w:pPr>
              <w:jc w:val="center"/>
            </w:pPr>
            <w:r>
              <w:rPr>
                <w:sz w:val="18"/>
                <w:szCs w:val="18"/>
              </w:rPr>
              <w:t>0.12–0.16</w:t>
            </w:r>
          </w:p>
        </w:tc>
      </w:tr>
      <w:tr w:rsidR="00450C92" w14:paraId="355CA8FE" w14:textId="77777777">
        <w:tblPrEx>
          <w:tblCellMar>
            <w:top w:w="0" w:type="dxa"/>
            <w:bottom w:w="0" w:type="dxa"/>
          </w:tblCellMar>
        </w:tblPrEx>
        <w:tc>
          <w:tcPr>
            <w:tcW w:w="3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007CC2E" w14:textId="77777777" w:rsidR="00450C92" w:rsidRDefault="00000000">
            <w:r>
              <w:rPr>
                <w:sz w:val="18"/>
                <w:szCs w:val="18"/>
              </w:rPr>
              <w:t>G₂ amplitude (J·min⁻¹·g⁻¹)</w:t>
            </w:r>
          </w:p>
        </w:tc>
        <w:tc>
          <w:tcPr>
            <w:tcW w:w="15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630BBE7" w14:textId="77777777" w:rsidR="00450C92" w:rsidRDefault="00000000">
            <w:pPr>
              <w:jc w:val="center"/>
            </w:pPr>
            <w:r>
              <w:rPr>
                <w:sz w:val="18"/>
                <w:szCs w:val="18"/>
              </w:rPr>
              <w:t>2.8–3.3</w:t>
            </w:r>
          </w:p>
        </w:tc>
        <w:tc>
          <w:tcPr>
            <w:tcW w:w="15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6A579CA" w14:textId="77777777" w:rsidR="00450C92" w:rsidRDefault="00000000">
            <w:pPr>
              <w:jc w:val="center"/>
            </w:pPr>
            <w:r>
              <w:rPr>
                <w:sz w:val="18"/>
                <w:szCs w:val="18"/>
              </w:rPr>
              <w:t>2.2–2.6</w:t>
            </w:r>
          </w:p>
        </w:tc>
        <w:tc>
          <w:tcPr>
            <w:tcW w:w="15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53E1EF0" w14:textId="77777777" w:rsidR="00450C92" w:rsidRDefault="00000000">
            <w:pPr>
              <w:jc w:val="center"/>
            </w:pPr>
            <w:r>
              <w:rPr>
                <w:sz w:val="18"/>
                <w:szCs w:val="18"/>
              </w:rPr>
              <w:t>1.5–2.0</w:t>
            </w:r>
          </w:p>
        </w:tc>
        <w:tc>
          <w:tcPr>
            <w:tcW w:w="15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B35ADE2" w14:textId="77777777" w:rsidR="00450C92" w:rsidRDefault="00000000">
            <w:pPr>
              <w:jc w:val="center"/>
            </w:pPr>
            <w:r>
              <w:rPr>
                <w:sz w:val="18"/>
                <w:szCs w:val="18"/>
              </w:rPr>
              <w:t>1.3–1.6</w:t>
            </w:r>
          </w:p>
        </w:tc>
      </w:tr>
      <w:tr w:rsidR="00450C92" w14:paraId="45DAF170" w14:textId="77777777">
        <w:tblPrEx>
          <w:tblCellMar>
            <w:top w:w="0" w:type="dxa"/>
            <w:bottom w:w="0" w:type="dxa"/>
          </w:tblCellMar>
        </w:tblPrEx>
        <w:tc>
          <w:tcPr>
            <w:tcW w:w="3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ECBF5B6" w14:textId="77777777" w:rsidR="00450C92" w:rsidRDefault="00000000">
            <w:r>
              <w:rPr>
                <w:sz w:val="18"/>
                <w:szCs w:val="18"/>
              </w:rPr>
              <w:t>G₂ peak time (min)</w:t>
            </w:r>
          </w:p>
        </w:tc>
        <w:tc>
          <w:tcPr>
            <w:tcW w:w="15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19E0E00" w14:textId="77777777" w:rsidR="00450C92" w:rsidRDefault="00000000">
            <w:pPr>
              <w:jc w:val="center"/>
            </w:pPr>
            <w:r>
              <w:rPr>
                <w:sz w:val="18"/>
                <w:szCs w:val="18"/>
              </w:rPr>
              <w:t>280–340</w:t>
            </w:r>
          </w:p>
        </w:tc>
        <w:tc>
          <w:tcPr>
            <w:tcW w:w="15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78BE966" w14:textId="77777777" w:rsidR="00450C92" w:rsidRDefault="00000000">
            <w:pPr>
              <w:jc w:val="center"/>
            </w:pPr>
            <w:r>
              <w:rPr>
                <w:sz w:val="18"/>
                <w:szCs w:val="18"/>
              </w:rPr>
              <w:t>310–370</w:t>
            </w:r>
          </w:p>
        </w:tc>
        <w:tc>
          <w:tcPr>
            <w:tcW w:w="15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D85A7E6" w14:textId="77777777" w:rsidR="00450C92" w:rsidRDefault="00000000">
            <w:pPr>
              <w:jc w:val="center"/>
            </w:pPr>
            <w:r>
              <w:rPr>
                <w:sz w:val="18"/>
                <w:szCs w:val="18"/>
              </w:rPr>
              <w:t>400–460</w:t>
            </w:r>
          </w:p>
        </w:tc>
        <w:tc>
          <w:tcPr>
            <w:tcW w:w="15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B870516" w14:textId="77777777" w:rsidR="00450C92" w:rsidRDefault="00000000">
            <w:pPr>
              <w:jc w:val="center"/>
            </w:pPr>
            <w:r>
              <w:rPr>
                <w:sz w:val="18"/>
                <w:szCs w:val="18"/>
              </w:rPr>
              <w:t>450–510</w:t>
            </w:r>
          </w:p>
        </w:tc>
      </w:tr>
      <w:tr w:rsidR="00450C92" w14:paraId="44E17821" w14:textId="77777777">
        <w:tblPrEx>
          <w:tblCellMar>
            <w:top w:w="0" w:type="dxa"/>
            <w:bottom w:w="0" w:type="dxa"/>
          </w:tblCellMar>
        </w:tblPrEx>
        <w:tc>
          <w:tcPr>
            <w:tcW w:w="3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B6D245C" w14:textId="77777777" w:rsidR="00450C92" w:rsidRDefault="00000000">
            <w:r>
              <w:rPr>
                <w:sz w:val="18"/>
                <w:szCs w:val="18"/>
              </w:rPr>
              <w:t>Terminal heat, exp. (J/g)</w:t>
            </w:r>
          </w:p>
        </w:tc>
        <w:tc>
          <w:tcPr>
            <w:tcW w:w="15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518D2FD" w14:textId="77777777" w:rsidR="00450C92" w:rsidRDefault="00000000">
            <w:pPr>
              <w:jc w:val="center"/>
            </w:pPr>
            <w:r>
              <w:rPr>
                <w:sz w:val="18"/>
                <w:szCs w:val="18"/>
              </w:rPr>
              <w:t>≈467</w:t>
            </w:r>
          </w:p>
        </w:tc>
        <w:tc>
          <w:tcPr>
            <w:tcW w:w="15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462E73C" w14:textId="77777777" w:rsidR="00450C92" w:rsidRDefault="00000000">
            <w:pPr>
              <w:jc w:val="center"/>
            </w:pPr>
            <w:r>
              <w:rPr>
                <w:sz w:val="18"/>
                <w:szCs w:val="18"/>
              </w:rPr>
              <w:t>≈433</w:t>
            </w:r>
          </w:p>
        </w:tc>
        <w:tc>
          <w:tcPr>
            <w:tcW w:w="15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14DD2E6" w14:textId="77777777" w:rsidR="00450C92" w:rsidRDefault="00000000">
            <w:pPr>
              <w:jc w:val="center"/>
            </w:pPr>
            <w:r>
              <w:rPr>
                <w:sz w:val="18"/>
                <w:szCs w:val="18"/>
              </w:rPr>
              <w:t>≈284</w:t>
            </w:r>
          </w:p>
        </w:tc>
        <w:tc>
          <w:tcPr>
            <w:tcW w:w="15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1A07CD3" w14:textId="77777777" w:rsidR="00450C92" w:rsidRDefault="00000000">
            <w:pPr>
              <w:jc w:val="center"/>
            </w:pPr>
            <w:r>
              <w:rPr>
                <w:sz w:val="18"/>
                <w:szCs w:val="18"/>
              </w:rPr>
              <w:t>≈255</w:t>
            </w:r>
          </w:p>
        </w:tc>
      </w:tr>
      <w:tr w:rsidR="00450C92" w14:paraId="0A957F25" w14:textId="77777777">
        <w:tblPrEx>
          <w:tblCellMar>
            <w:top w:w="0" w:type="dxa"/>
            <w:bottom w:w="0" w:type="dxa"/>
          </w:tblCellMar>
        </w:tblPrEx>
        <w:tc>
          <w:tcPr>
            <w:tcW w:w="3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8CA5CC9" w14:textId="77777777" w:rsidR="00450C92" w:rsidRDefault="00000000">
            <w:r>
              <w:rPr>
                <w:sz w:val="18"/>
                <w:szCs w:val="18"/>
              </w:rPr>
              <w:t>Terminal heat, Gauss-2 (J/g)</w:t>
            </w:r>
          </w:p>
        </w:tc>
        <w:tc>
          <w:tcPr>
            <w:tcW w:w="15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65659D9" w14:textId="77777777" w:rsidR="00450C92" w:rsidRDefault="00000000">
            <w:pPr>
              <w:jc w:val="center"/>
            </w:pPr>
            <w:r>
              <w:rPr>
                <w:sz w:val="18"/>
                <w:szCs w:val="18"/>
              </w:rPr>
              <w:t>≈438</w:t>
            </w:r>
          </w:p>
        </w:tc>
        <w:tc>
          <w:tcPr>
            <w:tcW w:w="15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9C1909A" w14:textId="77777777" w:rsidR="00450C92" w:rsidRDefault="00000000">
            <w:pPr>
              <w:jc w:val="center"/>
            </w:pPr>
            <w:r>
              <w:rPr>
                <w:sz w:val="18"/>
                <w:szCs w:val="18"/>
              </w:rPr>
              <w:t>≈433</w:t>
            </w:r>
          </w:p>
        </w:tc>
        <w:tc>
          <w:tcPr>
            <w:tcW w:w="15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1D55BAE" w14:textId="77777777" w:rsidR="00450C92" w:rsidRDefault="00000000">
            <w:pPr>
              <w:jc w:val="center"/>
            </w:pPr>
            <w:r>
              <w:rPr>
                <w:sz w:val="18"/>
                <w:szCs w:val="18"/>
              </w:rPr>
              <w:t>≈262</w:t>
            </w:r>
          </w:p>
        </w:tc>
        <w:tc>
          <w:tcPr>
            <w:tcW w:w="15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12B0618" w14:textId="77777777" w:rsidR="00450C92" w:rsidRDefault="00000000">
            <w:pPr>
              <w:jc w:val="center"/>
            </w:pPr>
            <w:r>
              <w:rPr>
                <w:sz w:val="18"/>
                <w:szCs w:val="18"/>
              </w:rPr>
              <w:t>≈242</w:t>
            </w:r>
          </w:p>
        </w:tc>
      </w:tr>
    </w:tbl>
    <w:p w14:paraId="243B594D" w14:textId="77777777" w:rsidR="00450C92" w:rsidRDefault="00000000">
      <w:pPr>
        <w:spacing w:before="140" w:after="80"/>
      </w:pPr>
      <w:r>
        <w:rPr>
          <w:b/>
          <w:bCs/>
          <w:i/>
          <w:iCs/>
        </w:rPr>
        <w:t>3.3 Cumulative Heat and Model Fits</w:t>
      </w:r>
    </w:p>
    <w:p w14:paraId="13DDB4EB" w14:textId="77777777" w:rsidR="00450C92" w:rsidRDefault="00000000">
      <w:pPr>
        <w:spacing w:after="100" w:line="224" w:lineRule="auto"/>
        <w:ind w:firstLine="360"/>
        <w:jc w:val="both"/>
      </w:pPr>
      <w:r>
        <w:t>The cumulative-heat curves (Fig. 3) confirm the ranking CEM I 52.5 N (≈ 467 J/g) &gt; CEM II A-M 42.5 R (≈ 433 J/g) &gt; CEM II A-M 42.5 N (≈ 284 J/g) &gt; CEM II B-M 42.5 N (≈ 255 J/g). The most striking result is that the rapid-hardening CEM II A-M 42.5 R releases only about 7% less heat than CEM I and roughly 52% more than the normal-strength CEM II A-M 42.5 N of nominally the same composition — a direct consequence of its higher Blaine fineness accelerating C₃S hydration. Sixth-order polynomial fits to the cumulative curves achieved R² &gt; 0.999 for every cement, providing continuous expressions directly usable in finite-element thermal models; the Gaussian rate model remains preferable for mechanistic interpretation of the individual hydration stages.</w:t>
      </w:r>
    </w:p>
    <w:p w14:paraId="3B725BF6" w14:textId="77777777" w:rsidR="00450C92" w:rsidRDefault="00000000">
      <w:pPr>
        <w:keepNext/>
        <w:spacing w:before="60" w:after="10"/>
        <w:jc w:val="center"/>
      </w:pPr>
      <w:r>
        <w:rPr>
          <w:noProof/>
        </w:rPr>
        <w:lastRenderedPageBreak/>
        <w:drawing>
          <wp:inline distT="0" distB="0" distL="0" distR="0" wp14:anchorId="290AE676" wp14:editId="22381669">
            <wp:extent cx="4972050" cy="2486025"/>
            <wp:effectExtent l="0" t="0" r="0" b="0"/>
            <wp:docPr id="578564259"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72050" cy="2486025"/>
                    </a:xfrm>
                    <a:prstGeom prst="rect">
                      <a:avLst/>
                    </a:prstGeom>
                  </pic:spPr>
                </pic:pic>
              </a:graphicData>
            </a:graphic>
          </wp:inline>
        </w:drawing>
      </w:r>
    </w:p>
    <w:p w14:paraId="2D3EB5E0" w14:textId="77777777" w:rsidR="00450C92" w:rsidRDefault="00000000">
      <w:pPr>
        <w:spacing w:before="40" w:after="90"/>
        <w:jc w:val="center"/>
      </w:pPr>
      <w:r>
        <w:rPr>
          <w:sz w:val="18"/>
          <w:szCs w:val="18"/>
        </w:rPr>
        <w:t>Fig. 3. Cumulative heat generation — experimental (left) and two-component Gaussian fit (right).</w:t>
      </w:r>
    </w:p>
    <w:p w14:paraId="59D40D1E" w14:textId="77777777" w:rsidR="00450C92" w:rsidRDefault="00000000">
      <w:pPr>
        <w:spacing w:before="140" w:after="80"/>
      </w:pPr>
      <w:r>
        <w:rPr>
          <w:b/>
          <w:bCs/>
          <w:i/>
          <w:iCs/>
        </w:rPr>
        <w:t>3.4 VCCTL Validation</w:t>
      </w:r>
    </w:p>
    <w:p w14:paraId="37082153" w14:textId="77777777" w:rsidR="00450C92" w:rsidRDefault="00000000">
      <w:pPr>
        <w:spacing w:after="100" w:line="224" w:lineRule="auto"/>
        <w:ind w:firstLine="360"/>
        <w:jc w:val="both"/>
      </w:pPr>
      <w:r>
        <w:t>The VCCTL simulations (Fig. 4) reproduce the experimental thermal ranking and the mineralogical interpretation. At 19 h, CEM I 52.5 N reaches the highest simulated heat release (≈ 480 kJ/kg), CEM II A-M 42.5 R the second highest (≈ 445 kJ/kg), the normal-strength CEM II A-M 42.5 N ≈ 390 kJ/kg and CEM II B-M 42.5 N the lowest (≈ 348 kJ/kg). As summarized in Table 4, the simulation agrees with experiment within about 3% for the high-clinker cements (CEM I and CEM II A-M 42.5 R) but over-predicts the slow blended cements by roughly 37%. This systematic over-prediction is expected: VCCTL runs under isothermal conditions and approaches the ultimate degree of hydration, whereas the semi-adiabatic test is heat-loss-corrected and time-truncated, so the slow blended reactions had not completed when monitoring ended. The high simulated degree of hydration of CEM II A-M 42.5 N (≈ 0.95) reflects this isothermal idealization rather than a contradiction of its modest measured heat.</w:t>
      </w:r>
    </w:p>
    <w:p w14:paraId="4DF3366F" w14:textId="77777777" w:rsidR="00450C92" w:rsidRDefault="00000000">
      <w:pPr>
        <w:keepNext/>
        <w:spacing w:before="60" w:after="10"/>
        <w:jc w:val="center"/>
      </w:pPr>
      <w:r>
        <w:rPr>
          <w:noProof/>
        </w:rPr>
        <w:drawing>
          <wp:inline distT="0" distB="0" distL="0" distR="0" wp14:anchorId="5CC06FF1" wp14:editId="5D935A6C">
            <wp:extent cx="5715000" cy="2000250"/>
            <wp:effectExtent l="0" t="0" r="0" b="0"/>
            <wp:docPr id="388162688"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000250"/>
                    </a:xfrm>
                    <a:prstGeom prst="rect">
                      <a:avLst/>
                    </a:prstGeom>
                  </pic:spPr>
                </pic:pic>
              </a:graphicData>
            </a:graphic>
          </wp:inline>
        </w:drawing>
      </w:r>
    </w:p>
    <w:p w14:paraId="067C0C88" w14:textId="77777777" w:rsidR="00450C92" w:rsidRDefault="00000000">
      <w:pPr>
        <w:spacing w:before="40" w:after="90"/>
        <w:jc w:val="center"/>
      </w:pPr>
      <w:r>
        <w:rPr>
          <w:sz w:val="18"/>
          <w:szCs w:val="18"/>
        </w:rPr>
        <w:t>Fig. 4. VCCTL-simulated degree of hydration (left) and cumulative heat release (right) (isothermal, w/c = 0.40). Legend: MyMix_01 = CEM I 52.5 N; CEM II A-M = CEM II A-M 42.5 N; CEM II A-M R (10) = CEM II A-M 42.5 R; CEM II B-M = CEM II B-M 42.5 N.</w:t>
      </w:r>
    </w:p>
    <w:p w14:paraId="5FF96677" w14:textId="77777777" w:rsidR="00450C92" w:rsidRDefault="00000000">
      <w:pPr>
        <w:spacing w:before="140" w:after="60"/>
        <w:jc w:val="center"/>
      </w:pPr>
      <w:r>
        <w:rPr>
          <w:b/>
          <w:bCs/>
          <w:sz w:val="18"/>
          <w:szCs w:val="18"/>
        </w:rPr>
        <w:t>Table 4. Experimental vs. VCCTL cumulative heat, simulated degree of hydration (DOH) at 19 h, and estimated thermal-cracking risk.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0"/>
        <w:gridCol w:w="1500"/>
        <w:gridCol w:w="1500"/>
        <w:gridCol w:w="1450"/>
        <w:gridCol w:w="1150"/>
        <w:gridCol w:w="1200"/>
      </w:tblGrid>
      <w:tr w:rsidR="00450C92" w14:paraId="7E8AAC05" w14:textId="77777777" w:rsidTr="005E7061">
        <w:tblPrEx>
          <w:tblCellMar>
            <w:top w:w="0" w:type="dxa"/>
            <w:bottom w:w="0" w:type="dxa"/>
          </w:tblCellMar>
        </w:tblPrEx>
        <w:trPr>
          <w:tblHeader/>
        </w:trPr>
        <w:tc>
          <w:tcPr>
            <w:tcW w:w="2560" w:type="dxa"/>
            <w:tcBorders>
              <w:top w:val="single" w:sz="1" w:space="0" w:color="999999"/>
              <w:left w:val="single" w:sz="1" w:space="0" w:color="999999"/>
              <w:bottom w:val="single" w:sz="1" w:space="0" w:color="999999"/>
              <w:right w:val="single" w:sz="1" w:space="0" w:color="999999"/>
            </w:tcBorders>
            <w:shd w:val="clear" w:color="auto" w:fill="FFFFFF" w:themeFill="background1"/>
            <w:tcMar>
              <w:top w:w="40" w:type="dxa"/>
              <w:left w:w="80" w:type="dxa"/>
              <w:bottom w:w="40" w:type="dxa"/>
              <w:right w:w="80" w:type="dxa"/>
            </w:tcMar>
            <w:vAlign w:val="center"/>
          </w:tcPr>
          <w:p w14:paraId="7DDCD1BF" w14:textId="77777777" w:rsidR="00450C92" w:rsidRDefault="00000000">
            <w:pPr>
              <w:jc w:val="center"/>
            </w:pPr>
            <w:r>
              <w:rPr>
                <w:b/>
                <w:bCs/>
                <w:sz w:val="18"/>
                <w:szCs w:val="18"/>
              </w:rPr>
              <w:t>Cement</w:t>
            </w:r>
          </w:p>
        </w:tc>
        <w:tc>
          <w:tcPr>
            <w:tcW w:w="1500" w:type="dxa"/>
            <w:tcBorders>
              <w:top w:val="single" w:sz="1" w:space="0" w:color="999999"/>
              <w:left w:val="single" w:sz="1" w:space="0" w:color="999999"/>
              <w:bottom w:val="single" w:sz="1" w:space="0" w:color="999999"/>
              <w:right w:val="single" w:sz="1" w:space="0" w:color="999999"/>
            </w:tcBorders>
            <w:shd w:val="clear" w:color="auto" w:fill="FFFFFF" w:themeFill="background1"/>
            <w:tcMar>
              <w:top w:w="40" w:type="dxa"/>
              <w:left w:w="80" w:type="dxa"/>
              <w:bottom w:w="40" w:type="dxa"/>
              <w:right w:w="80" w:type="dxa"/>
            </w:tcMar>
            <w:vAlign w:val="center"/>
          </w:tcPr>
          <w:p w14:paraId="1B678985" w14:textId="77777777" w:rsidR="00450C92" w:rsidRDefault="00000000">
            <w:pPr>
              <w:jc w:val="center"/>
            </w:pPr>
            <w:r>
              <w:rPr>
                <w:b/>
                <w:bCs/>
                <w:sz w:val="18"/>
                <w:szCs w:val="18"/>
              </w:rPr>
              <w:t>Exp. Q (J/g)</w:t>
            </w:r>
          </w:p>
        </w:tc>
        <w:tc>
          <w:tcPr>
            <w:tcW w:w="1500" w:type="dxa"/>
            <w:tcBorders>
              <w:top w:val="single" w:sz="1" w:space="0" w:color="999999"/>
              <w:left w:val="single" w:sz="1" w:space="0" w:color="999999"/>
              <w:bottom w:val="single" w:sz="1" w:space="0" w:color="999999"/>
              <w:right w:val="single" w:sz="1" w:space="0" w:color="999999"/>
            </w:tcBorders>
            <w:shd w:val="clear" w:color="auto" w:fill="FFFFFF" w:themeFill="background1"/>
            <w:tcMar>
              <w:top w:w="40" w:type="dxa"/>
              <w:left w:w="80" w:type="dxa"/>
              <w:bottom w:w="40" w:type="dxa"/>
              <w:right w:w="80" w:type="dxa"/>
            </w:tcMar>
            <w:vAlign w:val="center"/>
          </w:tcPr>
          <w:p w14:paraId="6E1373FA" w14:textId="77777777" w:rsidR="00450C92" w:rsidRDefault="00000000">
            <w:pPr>
              <w:jc w:val="center"/>
            </w:pPr>
            <w:r>
              <w:rPr>
                <w:b/>
                <w:bCs/>
                <w:sz w:val="18"/>
                <w:szCs w:val="18"/>
              </w:rPr>
              <w:t>VCCTL Q (kJ/kg)</w:t>
            </w:r>
          </w:p>
        </w:tc>
        <w:tc>
          <w:tcPr>
            <w:tcW w:w="1450" w:type="dxa"/>
            <w:tcBorders>
              <w:top w:val="single" w:sz="1" w:space="0" w:color="999999"/>
              <w:left w:val="single" w:sz="1" w:space="0" w:color="999999"/>
              <w:bottom w:val="single" w:sz="1" w:space="0" w:color="999999"/>
              <w:right w:val="single" w:sz="1" w:space="0" w:color="999999"/>
            </w:tcBorders>
            <w:shd w:val="clear" w:color="auto" w:fill="FFFFFF" w:themeFill="background1"/>
            <w:tcMar>
              <w:top w:w="40" w:type="dxa"/>
              <w:left w:w="80" w:type="dxa"/>
              <w:bottom w:w="40" w:type="dxa"/>
              <w:right w:w="80" w:type="dxa"/>
            </w:tcMar>
            <w:vAlign w:val="center"/>
          </w:tcPr>
          <w:p w14:paraId="7B5534A7" w14:textId="77777777" w:rsidR="00450C92" w:rsidRDefault="00000000">
            <w:pPr>
              <w:jc w:val="center"/>
            </w:pPr>
            <w:r>
              <w:rPr>
                <w:b/>
                <w:bCs/>
                <w:sz w:val="18"/>
                <w:szCs w:val="18"/>
              </w:rPr>
              <w:t>Rel. diff. (%)</w:t>
            </w:r>
          </w:p>
        </w:tc>
        <w:tc>
          <w:tcPr>
            <w:tcW w:w="1150" w:type="dxa"/>
            <w:tcBorders>
              <w:top w:val="single" w:sz="1" w:space="0" w:color="999999"/>
              <w:left w:val="single" w:sz="1" w:space="0" w:color="999999"/>
              <w:bottom w:val="single" w:sz="1" w:space="0" w:color="999999"/>
              <w:right w:val="single" w:sz="1" w:space="0" w:color="999999"/>
            </w:tcBorders>
            <w:shd w:val="clear" w:color="auto" w:fill="FFFFFF" w:themeFill="background1"/>
            <w:tcMar>
              <w:top w:w="40" w:type="dxa"/>
              <w:left w:w="80" w:type="dxa"/>
              <w:bottom w:w="40" w:type="dxa"/>
              <w:right w:w="80" w:type="dxa"/>
            </w:tcMar>
            <w:vAlign w:val="center"/>
          </w:tcPr>
          <w:p w14:paraId="0ED1EE2C" w14:textId="77777777" w:rsidR="00450C92" w:rsidRDefault="00000000">
            <w:pPr>
              <w:jc w:val="center"/>
            </w:pPr>
            <w:r>
              <w:rPr>
                <w:b/>
                <w:bCs/>
                <w:sz w:val="18"/>
                <w:szCs w:val="18"/>
              </w:rPr>
              <w:t>DOH (19 h)</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hemeFill="background1"/>
            <w:tcMar>
              <w:top w:w="40" w:type="dxa"/>
              <w:left w:w="80" w:type="dxa"/>
              <w:bottom w:w="40" w:type="dxa"/>
              <w:right w:w="80" w:type="dxa"/>
            </w:tcMar>
            <w:vAlign w:val="center"/>
          </w:tcPr>
          <w:p w14:paraId="26AAB912" w14:textId="77777777" w:rsidR="00450C92" w:rsidRDefault="00000000">
            <w:pPr>
              <w:jc w:val="center"/>
            </w:pPr>
            <w:r>
              <w:rPr>
                <w:b/>
                <w:bCs/>
                <w:sz w:val="18"/>
                <w:szCs w:val="18"/>
              </w:rPr>
              <w:t>Est. ΔT (°C)</w:t>
            </w:r>
          </w:p>
        </w:tc>
      </w:tr>
      <w:tr w:rsidR="00450C92" w14:paraId="6CB82313" w14:textId="77777777">
        <w:tblPrEx>
          <w:tblCellMar>
            <w:top w:w="0" w:type="dxa"/>
            <w:bottom w:w="0" w:type="dxa"/>
          </w:tblCellMar>
        </w:tblPrEx>
        <w:tc>
          <w:tcPr>
            <w:tcW w:w="2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8F63CC5" w14:textId="77777777" w:rsidR="00450C92" w:rsidRDefault="00000000">
            <w:pPr>
              <w:jc w:val="center"/>
            </w:pPr>
            <w:r>
              <w:rPr>
                <w:sz w:val="18"/>
                <w:szCs w:val="18"/>
              </w:rPr>
              <w:t>CEM I 52.5 N</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9861C46" w14:textId="77777777" w:rsidR="00450C92" w:rsidRDefault="00000000">
            <w:pPr>
              <w:jc w:val="center"/>
            </w:pPr>
            <w:r>
              <w:rPr>
                <w:sz w:val="18"/>
                <w:szCs w:val="18"/>
              </w:rPr>
              <w:t>≈467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8F76093" w14:textId="77777777" w:rsidR="00450C92" w:rsidRDefault="00000000">
            <w:pPr>
              <w:jc w:val="center"/>
            </w:pPr>
            <w:r>
              <w:rPr>
                <w:sz w:val="18"/>
                <w:szCs w:val="18"/>
              </w:rPr>
              <w:t>≈480</w:t>
            </w:r>
          </w:p>
        </w:tc>
        <w:tc>
          <w:tcPr>
            <w:tcW w:w="14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540DB9E" w14:textId="77777777" w:rsidR="00450C92" w:rsidRDefault="00000000">
            <w:pPr>
              <w:jc w:val="center"/>
            </w:pPr>
            <w:r>
              <w:rPr>
                <w:sz w:val="18"/>
                <w:szCs w:val="18"/>
              </w:rPr>
              <w:t>+2.8</w:t>
            </w:r>
          </w:p>
        </w:tc>
        <w:tc>
          <w:tcPr>
            <w:tcW w:w="11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4360BBF" w14:textId="77777777" w:rsidR="00450C92" w:rsidRDefault="00000000">
            <w:pPr>
              <w:jc w:val="center"/>
            </w:pPr>
            <w:r>
              <w:rPr>
                <w:sz w:val="18"/>
                <w:szCs w:val="18"/>
              </w:rPr>
              <w:t>0.81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86D85F1" w14:textId="77777777" w:rsidR="00450C92" w:rsidRDefault="00000000">
            <w:pPr>
              <w:jc w:val="center"/>
            </w:pPr>
            <w:r>
              <w:rPr>
                <w:sz w:val="18"/>
                <w:szCs w:val="18"/>
              </w:rPr>
              <w:t>&gt;40</w:t>
            </w:r>
          </w:p>
        </w:tc>
      </w:tr>
      <w:tr w:rsidR="00450C92" w14:paraId="5B876D45" w14:textId="77777777">
        <w:tblPrEx>
          <w:tblCellMar>
            <w:top w:w="0" w:type="dxa"/>
            <w:bottom w:w="0" w:type="dxa"/>
          </w:tblCellMar>
        </w:tblPrEx>
        <w:tc>
          <w:tcPr>
            <w:tcW w:w="2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F267667" w14:textId="77777777" w:rsidR="00450C92" w:rsidRDefault="00000000">
            <w:pPr>
              <w:jc w:val="center"/>
            </w:pPr>
            <w:r>
              <w:rPr>
                <w:sz w:val="18"/>
                <w:szCs w:val="18"/>
              </w:rPr>
              <w:t>CEM II A-M 42.5 R</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19939D7" w14:textId="77777777" w:rsidR="00450C92" w:rsidRDefault="00000000">
            <w:pPr>
              <w:jc w:val="center"/>
            </w:pPr>
            <w:r>
              <w:rPr>
                <w:sz w:val="18"/>
                <w:szCs w:val="18"/>
              </w:rPr>
              <w:t>≈433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E4CC0A6" w14:textId="77777777" w:rsidR="00450C92" w:rsidRDefault="00000000">
            <w:pPr>
              <w:jc w:val="center"/>
            </w:pPr>
            <w:r>
              <w:rPr>
                <w:sz w:val="18"/>
                <w:szCs w:val="18"/>
              </w:rPr>
              <w:t>≈445</w:t>
            </w:r>
          </w:p>
        </w:tc>
        <w:tc>
          <w:tcPr>
            <w:tcW w:w="14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1878E73" w14:textId="77777777" w:rsidR="00450C92" w:rsidRDefault="00000000">
            <w:pPr>
              <w:jc w:val="center"/>
            </w:pPr>
            <w:r>
              <w:rPr>
                <w:sz w:val="18"/>
                <w:szCs w:val="18"/>
              </w:rPr>
              <w:t>+2.7</w:t>
            </w:r>
          </w:p>
        </w:tc>
        <w:tc>
          <w:tcPr>
            <w:tcW w:w="11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870AC12" w14:textId="77777777" w:rsidR="00450C92" w:rsidRDefault="00000000">
            <w:pPr>
              <w:jc w:val="center"/>
            </w:pPr>
            <w:r>
              <w:rPr>
                <w:sz w:val="18"/>
                <w:szCs w:val="18"/>
              </w:rPr>
              <w:t>0.80</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585DD4B" w14:textId="77777777" w:rsidR="00450C92" w:rsidRDefault="00000000">
            <w:pPr>
              <w:jc w:val="center"/>
            </w:pPr>
            <w:r>
              <w:rPr>
                <w:sz w:val="18"/>
                <w:szCs w:val="18"/>
              </w:rPr>
              <w:t>32–38</w:t>
            </w:r>
          </w:p>
        </w:tc>
      </w:tr>
      <w:tr w:rsidR="00450C92" w14:paraId="551C72EA" w14:textId="77777777">
        <w:tblPrEx>
          <w:tblCellMar>
            <w:top w:w="0" w:type="dxa"/>
            <w:bottom w:w="0" w:type="dxa"/>
          </w:tblCellMar>
        </w:tblPrEx>
        <w:tc>
          <w:tcPr>
            <w:tcW w:w="2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577E6E6" w14:textId="77777777" w:rsidR="00450C92" w:rsidRDefault="00000000">
            <w:pPr>
              <w:jc w:val="center"/>
            </w:pPr>
            <w:r>
              <w:rPr>
                <w:sz w:val="18"/>
                <w:szCs w:val="18"/>
              </w:rPr>
              <w:t>CEM II A-M 42.5 N</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3E208E8" w14:textId="77777777" w:rsidR="00450C92" w:rsidRDefault="00000000">
            <w:pPr>
              <w:jc w:val="center"/>
            </w:pPr>
            <w:r>
              <w:rPr>
                <w:sz w:val="18"/>
                <w:szCs w:val="18"/>
              </w:rPr>
              <w:t>≈284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17C6FCA" w14:textId="77777777" w:rsidR="00450C92" w:rsidRDefault="00000000">
            <w:pPr>
              <w:jc w:val="center"/>
            </w:pPr>
            <w:r>
              <w:rPr>
                <w:sz w:val="18"/>
                <w:szCs w:val="18"/>
              </w:rPr>
              <w:t>≈390</w:t>
            </w:r>
          </w:p>
        </w:tc>
        <w:tc>
          <w:tcPr>
            <w:tcW w:w="14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DD98B78" w14:textId="77777777" w:rsidR="00450C92" w:rsidRDefault="00000000">
            <w:pPr>
              <w:jc w:val="center"/>
            </w:pPr>
            <w:r>
              <w:rPr>
                <w:sz w:val="18"/>
                <w:szCs w:val="18"/>
              </w:rPr>
              <w:t>+37.3</w:t>
            </w:r>
          </w:p>
        </w:tc>
        <w:tc>
          <w:tcPr>
            <w:tcW w:w="11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DC87ACC" w14:textId="77777777" w:rsidR="00450C92" w:rsidRDefault="00000000">
            <w:pPr>
              <w:jc w:val="center"/>
            </w:pPr>
            <w:r>
              <w:rPr>
                <w:sz w:val="18"/>
                <w:szCs w:val="18"/>
              </w:rPr>
              <w:t>0.95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F1BB5DC" w14:textId="77777777" w:rsidR="00450C92" w:rsidRDefault="00000000">
            <w:pPr>
              <w:jc w:val="center"/>
            </w:pPr>
            <w:r>
              <w:rPr>
                <w:sz w:val="18"/>
                <w:szCs w:val="18"/>
              </w:rPr>
              <w:t>25–28</w:t>
            </w:r>
          </w:p>
        </w:tc>
      </w:tr>
      <w:tr w:rsidR="00450C92" w14:paraId="179F0A2E" w14:textId="77777777">
        <w:tblPrEx>
          <w:tblCellMar>
            <w:top w:w="0" w:type="dxa"/>
            <w:bottom w:w="0" w:type="dxa"/>
          </w:tblCellMar>
        </w:tblPrEx>
        <w:tc>
          <w:tcPr>
            <w:tcW w:w="2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F716B7A" w14:textId="77777777" w:rsidR="00450C92" w:rsidRDefault="00000000">
            <w:pPr>
              <w:jc w:val="center"/>
            </w:pPr>
            <w:r>
              <w:rPr>
                <w:sz w:val="18"/>
                <w:szCs w:val="18"/>
              </w:rPr>
              <w:lastRenderedPageBreak/>
              <w:t>CEM II B-M 42.5 N</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D34F372" w14:textId="77777777" w:rsidR="00450C92" w:rsidRDefault="00000000">
            <w:pPr>
              <w:jc w:val="center"/>
            </w:pPr>
            <w:r>
              <w:rPr>
                <w:sz w:val="18"/>
                <w:szCs w:val="18"/>
              </w:rPr>
              <w:t>≈255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36C4B3B" w14:textId="77777777" w:rsidR="00450C92" w:rsidRDefault="00000000">
            <w:pPr>
              <w:jc w:val="center"/>
            </w:pPr>
            <w:r>
              <w:rPr>
                <w:sz w:val="18"/>
                <w:szCs w:val="18"/>
              </w:rPr>
              <w:t>≈348</w:t>
            </w:r>
          </w:p>
        </w:tc>
        <w:tc>
          <w:tcPr>
            <w:tcW w:w="14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C8F0927" w14:textId="77777777" w:rsidR="00450C92" w:rsidRDefault="00000000">
            <w:pPr>
              <w:jc w:val="center"/>
            </w:pPr>
            <w:r>
              <w:rPr>
                <w:sz w:val="18"/>
                <w:szCs w:val="18"/>
              </w:rPr>
              <w:t>+36.5</w:t>
            </w:r>
          </w:p>
        </w:tc>
        <w:tc>
          <w:tcPr>
            <w:tcW w:w="115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65ED43E" w14:textId="77777777" w:rsidR="00450C92" w:rsidRDefault="00000000">
            <w:pPr>
              <w:jc w:val="center"/>
            </w:pPr>
            <w:r>
              <w:rPr>
                <w:sz w:val="18"/>
                <w:szCs w:val="18"/>
              </w:rPr>
              <w:t>0.825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F011567" w14:textId="77777777" w:rsidR="00450C92" w:rsidRDefault="00000000">
            <w:pPr>
              <w:jc w:val="center"/>
            </w:pPr>
            <w:r>
              <w:rPr>
                <w:sz w:val="18"/>
                <w:szCs w:val="18"/>
              </w:rPr>
              <w:t>22–25</w:t>
            </w:r>
          </w:p>
        </w:tc>
      </w:tr>
    </w:tbl>
    <w:p w14:paraId="4B5640A1" w14:textId="77777777" w:rsidR="00450C92" w:rsidRDefault="00000000">
      <w:pPr>
        <w:spacing w:before="140" w:after="80"/>
      </w:pPr>
      <w:r>
        <w:rPr>
          <w:b/>
          <w:bCs/>
          <w:i/>
          <w:iCs/>
        </w:rPr>
        <w:t>3.5 Thermal-Cracking Risk and Practical Implications</w:t>
      </w:r>
    </w:p>
    <w:p w14:paraId="46FA49FD" w14:textId="67F9E1F8" w:rsidR="00450C92" w:rsidRDefault="00000000">
      <w:pPr>
        <w:spacing w:after="100" w:line="224" w:lineRule="auto"/>
        <w:ind w:firstLine="360"/>
        <w:jc w:val="both"/>
      </w:pPr>
      <w:r>
        <w:t>Estimating the adiabatic temperature rise as ΔT ≈ Q / cₚ (with cₚ ≈ 1.0 kJ/</w:t>
      </w:r>
      <w:proofErr w:type="spellStart"/>
      <w:r>
        <w:t>kg·K</w:t>
      </w:r>
      <w:proofErr w:type="spellEnd"/>
      <w:r>
        <w:t xml:space="preserve">) places CEM I 52.5 N above 40 °C and CEM II B-M 42.5 N at only 22–25 °C, so the thermal-cracking risk ranks CEM I 52.5 N &gt; CEM II A-M 42.5 R &gt; CEM II A-M 42.5 N &gt; CEM II B-M 42.5 N. Against the 20 °C core-to-surface limit recommended by ACI 207R and CIRIA C660, CEM II B-M 42.5 N is clearly the most </w:t>
      </w:r>
      <w:r w:rsidR="00037994">
        <w:t>favorable</w:t>
      </w:r>
      <w:r>
        <w:t xml:space="preserve"> for raft foundations, bridge piers and other temperature-sensitive placements, while CEM I requires active temperature control (pre-cooling, staged casting, insulation management) in thick sections. Critically, CEM II A-M 42.5 R must not be treated as a low-heat composite cement: its near-Portland heat output means it demands the same thermal precautions as CEM I. These conclusions are amplified in the tropical climate of Bangladesh, where high ambient temperatures further increase internal gradients.</w:t>
      </w:r>
    </w:p>
    <w:p w14:paraId="0AF53F29" w14:textId="77777777" w:rsidR="00450C92" w:rsidRDefault="00000000">
      <w:pPr>
        <w:spacing w:before="90" w:after="60"/>
      </w:pPr>
      <w:r>
        <w:rPr>
          <w:b/>
          <w:bCs/>
          <w:sz w:val="24"/>
          <w:szCs w:val="24"/>
        </w:rPr>
        <w:t>4. CONCLUSIONS</w:t>
      </w:r>
    </w:p>
    <w:p w14:paraId="7D84CFF9" w14:textId="77777777" w:rsidR="00450C92" w:rsidRDefault="00000000">
      <w:pPr>
        <w:spacing w:after="100" w:line="224" w:lineRule="auto"/>
        <w:jc w:val="both"/>
      </w:pPr>
      <w:r>
        <w:t>A combined XRD–calorimetry–modelling–VCCTL study of four BDS EN 197-1 cements yielded the following conclusions:</w:t>
      </w:r>
    </w:p>
    <w:p w14:paraId="6B2B799E" w14:textId="77777777" w:rsidR="00450C92" w:rsidRDefault="00000000">
      <w:pPr>
        <w:spacing w:after="34" w:line="226" w:lineRule="auto"/>
        <w:ind w:left="360" w:hanging="360"/>
        <w:jc w:val="both"/>
      </w:pPr>
      <w:r>
        <w:t>(1)  Cumulative heat ranked CEM I 52.5 N (≈467 J/g) &gt; CEM II A-M 42.5 R (≈433 J/g) &gt; CEM II A-M 42.5 N (≈284 J/g) &gt; CEM II B-M 42.5 N (≈255 J/g), in agreement with the XRD clinker-dilution sequence.</w:t>
      </w:r>
    </w:p>
    <w:p w14:paraId="7DE58D78" w14:textId="77777777" w:rsidR="00450C92" w:rsidRDefault="00000000">
      <w:pPr>
        <w:spacing w:after="34" w:line="226" w:lineRule="auto"/>
        <w:ind w:left="360" w:hanging="360"/>
        <w:jc w:val="both"/>
      </w:pPr>
      <w:r>
        <w:t>(2)  The rapid-hardening CEM II A-M 42.5 R behaved almost like a Portland cement, releasing only ≈7% less heat than CEM I despite its mineral additions, because early strength is achieved through fineness rather than clinker content.</w:t>
      </w:r>
    </w:p>
    <w:p w14:paraId="6A712429" w14:textId="77777777" w:rsidR="00450C92" w:rsidRDefault="00000000">
      <w:pPr>
        <w:spacing w:after="34" w:line="226" w:lineRule="auto"/>
        <w:ind w:left="360" w:hanging="360"/>
        <w:jc w:val="both"/>
      </w:pPr>
      <w:r>
        <w:t>(3)  Two-component Gaussian models captured the aluminate and silicate stages, and sixth-order polynomials reproduced the cumulative curves with R² &gt; 0.999, giving analytical inputs ready for finite-element thermal simulation.</w:t>
      </w:r>
    </w:p>
    <w:p w14:paraId="11852492" w14:textId="77777777" w:rsidR="00450C92" w:rsidRDefault="00000000">
      <w:pPr>
        <w:spacing w:after="34" w:line="226" w:lineRule="auto"/>
        <w:ind w:left="360" w:hanging="360"/>
        <w:jc w:val="both"/>
      </w:pPr>
      <w:r>
        <w:t>(4)  VCCTL reproduced the experimental ranking and matched the high-clinker cements within ≈3%, while over-predicting the slow blended cements by ≈37% as expected from its isothermal, near-ultimate idealization.</w:t>
      </w:r>
    </w:p>
    <w:p w14:paraId="3BD8A931" w14:textId="77777777" w:rsidR="00450C92" w:rsidRDefault="00000000">
      <w:pPr>
        <w:spacing w:after="34" w:line="226" w:lineRule="auto"/>
        <w:ind w:left="360" w:hanging="360"/>
        <w:jc w:val="both"/>
      </w:pPr>
      <w:r>
        <w:t>(5)  For mass concrete in tropical conditions, CEM II B-M 42.5 N is the preferred low-heat option, whereas CEM II A-M 42.5 R should be managed as a high-heat cement.</w:t>
      </w:r>
    </w:p>
    <w:p w14:paraId="01DF8077" w14:textId="77777777" w:rsidR="00450C92" w:rsidRDefault="00000000">
      <w:pPr>
        <w:spacing w:before="90" w:after="60"/>
      </w:pPr>
      <w:r>
        <w:rPr>
          <w:b/>
          <w:bCs/>
          <w:sz w:val="24"/>
          <w:szCs w:val="24"/>
        </w:rPr>
        <w:t>5. ACKNOWLEDGEMENTS</w:t>
      </w:r>
    </w:p>
    <w:p w14:paraId="76500987" w14:textId="77777777" w:rsidR="00450C92" w:rsidRDefault="00000000">
      <w:pPr>
        <w:spacing w:after="100" w:line="224" w:lineRule="auto"/>
        <w:ind w:firstLine="360"/>
        <w:jc w:val="both"/>
      </w:pPr>
      <w:r>
        <w:t>The authors gratefully acknowledge their supervisor and the Department of Civil Engineering, BUET, for the laboratory facilities used in this study.</w:t>
      </w:r>
    </w:p>
    <w:p w14:paraId="778A7801" w14:textId="77777777" w:rsidR="00450C92" w:rsidRDefault="00000000">
      <w:pPr>
        <w:spacing w:before="90" w:after="60"/>
      </w:pPr>
      <w:r>
        <w:rPr>
          <w:b/>
          <w:bCs/>
          <w:sz w:val="24"/>
          <w:szCs w:val="24"/>
        </w:rPr>
        <w:t>6. REFERENCES</w:t>
      </w:r>
    </w:p>
    <w:p w14:paraId="162AA7CA" w14:textId="240E7D17" w:rsidR="00450C92" w:rsidRDefault="00000000">
      <w:pPr>
        <w:spacing w:after="4" w:line="190" w:lineRule="auto"/>
        <w:ind w:left="360" w:hanging="360"/>
        <w:jc w:val="both"/>
      </w:pPr>
      <w:r>
        <w:rPr>
          <w:sz w:val="17"/>
          <w:szCs w:val="17"/>
        </w:rPr>
        <w:t>[1</w:t>
      </w:r>
      <w:r w:rsidR="005E7061">
        <w:rPr>
          <w:sz w:val="17"/>
          <w:szCs w:val="17"/>
        </w:rPr>
        <w:t>] ACI</w:t>
      </w:r>
      <w:r>
        <w:rPr>
          <w:sz w:val="17"/>
          <w:szCs w:val="17"/>
        </w:rPr>
        <w:t xml:space="preserve"> Committee 207 (2005). Guide to Mass Concrete (ACI 207.1R). American Concrete Institute, Farmington Hills, MI.</w:t>
      </w:r>
    </w:p>
    <w:p w14:paraId="7D73B9BC" w14:textId="1DA6AB39" w:rsidR="00450C92" w:rsidRDefault="00000000">
      <w:pPr>
        <w:spacing w:after="4" w:line="190" w:lineRule="auto"/>
        <w:ind w:left="360" w:hanging="360"/>
        <w:jc w:val="both"/>
      </w:pPr>
      <w:r>
        <w:rPr>
          <w:sz w:val="17"/>
          <w:szCs w:val="17"/>
        </w:rPr>
        <w:t>[2</w:t>
      </w:r>
      <w:r w:rsidR="005E7061">
        <w:rPr>
          <w:sz w:val="17"/>
          <w:szCs w:val="17"/>
        </w:rPr>
        <w:t>] Bentz</w:t>
      </w:r>
      <w:r>
        <w:rPr>
          <w:sz w:val="17"/>
          <w:szCs w:val="17"/>
        </w:rPr>
        <w:t>, D. P. (2007). Transient plane source measurements of the thermal properties of hydrating cement pastes. Materials and Structures, 40, 1073–1080.</w:t>
      </w:r>
    </w:p>
    <w:p w14:paraId="5BA95AD4" w14:textId="018AEC37" w:rsidR="00450C92" w:rsidRDefault="00000000">
      <w:pPr>
        <w:spacing w:after="4" w:line="190" w:lineRule="auto"/>
        <w:ind w:left="360" w:hanging="360"/>
        <w:jc w:val="both"/>
      </w:pPr>
      <w:r>
        <w:rPr>
          <w:sz w:val="17"/>
          <w:szCs w:val="17"/>
        </w:rPr>
        <w:t>[3</w:t>
      </w:r>
      <w:r w:rsidR="005E7061">
        <w:rPr>
          <w:sz w:val="17"/>
          <w:szCs w:val="17"/>
        </w:rPr>
        <w:t>] CIRIA</w:t>
      </w:r>
      <w:r>
        <w:rPr>
          <w:sz w:val="17"/>
          <w:szCs w:val="17"/>
        </w:rPr>
        <w:t xml:space="preserve"> (2007). Early-age thermal crack control in concrete (C660). CIRIA, London.</w:t>
      </w:r>
    </w:p>
    <w:p w14:paraId="0B0E68D6" w14:textId="69E01B61" w:rsidR="00450C92" w:rsidRDefault="00000000">
      <w:pPr>
        <w:spacing w:after="4" w:line="190" w:lineRule="auto"/>
        <w:ind w:left="360" w:hanging="360"/>
        <w:jc w:val="both"/>
      </w:pPr>
      <w:r>
        <w:rPr>
          <w:sz w:val="17"/>
          <w:szCs w:val="17"/>
        </w:rPr>
        <w:t>[4</w:t>
      </w:r>
      <w:r w:rsidR="005E7061">
        <w:rPr>
          <w:sz w:val="17"/>
          <w:szCs w:val="17"/>
        </w:rPr>
        <w:t>] De</w:t>
      </w:r>
      <w:r>
        <w:rPr>
          <w:sz w:val="17"/>
          <w:szCs w:val="17"/>
        </w:rPr>
        <w:t xml:space="preserve"> Schutter, G., &amp; </w:t>
      </w:r>
      <w:proofErr w:type="spellStart"/>
      <w:r>
        <w:rPr>
          <w:sz w:val="17"/>
          <w:szCs w:val="17"/>
        </w:rPr>
        <w:t>Taerwe</w:t>
      </w:r>
      <w:proofErr w:type="spellEnd"/>
      <w:r>
        <w:rPr>
          <w:sz w:val="17"/>
          <w:szCs w:val="17"/>
        </w:rPr>
        <w:t>, L. (1995). General hydration model for Portland cement and blast furnace slag cement. Cement and Concrete Research, 25(3), 593–604.</w:t>
      </w:r>
    </w:p>
    <w:p w14:paraId="42D889D9" w14:textId="41987868" w:rsidR="00450C92" w:rsidRDefault="00000000">
      <w:pPr>
        <w:spacing w:after="4" w:line="190" w:lineRule="auto"/>
        <w:ind w:left="360" w:hanging="360"/>
        <w:jc w:val="both"/>
      </w:pPr>
      <w:r>
        <w:rPr>
          <w:sz w:val="17"/>
          <w:szCs w:val="17"/>
        </w:rPr>
        <w:t>[5</w:t>
      </w:r>
      <w:r w:rsidR="005E7061">
        <w:rPr>
          <w:sz w:val="17"/>
          <w:szCs w:val="17"/>
        </w:rPr>
        <w:t>] Ferraro</w:t>
      </w:r>
      <w:r>
        <w:rPr>
          <w:sz w:val="17"/>
          <w:szCs w:val="17"/>
        </w:rPr>
        <w:t>, C. C., Watts, B., Tao, C., &amp; Masters, F. (2018). Advanced analysis, validation and optimization of virtual cement and concrete testing. University of Florida / FDOT.</w:t>
      </w:r>
    </w:p>
    <w:p w14:paraId="082D14D7" w14:textId="48047C21" w:rsidR="00450C92" w:rsidRDefault="00000000">
      <w:pPr>
        <w:spacing w:after="4" w:line="190" w:lineRule="auto"/>
        <w:ind w:left="360" w:hanging="360"/>
        <w:jc w:val="both"/>
      </w:pPr>
      <w:r>
        <w:rPr>
          <w:sz w:val="17"/>
          <w:szCs w:val="17"/>
        </w:rPr>
        <w:t>[6</w:t>
      </w:r>
      <w:r w:rsidR="005E7061">
        <w:rPr>
          <w:sz w:val="17"/>
          <w:szCs w:val="17"/>
        </w:rPr>
        <w:t>] Klemczak</w:t>
      </w:r>
      <w:r>
        <w:rPr>
          <w:sz w:val="17"/>
          <w:szCs w:val="17"/>
        </w:rPr>
        <w:t>, B., &amp; Batog, M. (2016). Heat of hydration of low-clinker cements. Journal of Thermal Analysis and Calorimetry, 123(1), 1351–1360.</w:t>
      </w:r>
    </w:p>
    <w:p w14:paraId="448528C3" w14:textId="748BC989" w:rsidR="00450C92" w:rsidRDefault="00000000">
      <w:pPr>
        <w:spacing w:after="4" w:line="190" w:lineRule="auto"/>
        <w:ind w:left="360" w:hanging="360"/>
        <w:jc w:val="both"/>
      </w:pPr>
      <w:r>
        <w:rPr>
          <w:sz w:val="17"/>
          <w:szCs w:val="17"/>
        </w:rPr>
        <w:t>[7</w:t>
      </w:r>
      <w:r w:rsidR="005E7061">
        <w:rPr>
          <w:sz w:val="17"/>
          <w:szCs w:val="17"/>
        </w:rPr>
        <w:t xml:space="preserve">] </w:t>
      </w:r>
      <w:proofErr w:type="spellStart"/>
      <w:r w:rsidR="005E7061">
        <w:rPr>
          <w:sz w:val="17"/>
          <w:szCs w:val="17"/>
        </w:rPr>
        <w:t>Lothenbach</w:t>
      </w:r>
      <w:proofErr w:type="spellEnd"/>
      <w:r>
        <w:rPr>
          <w:sz w:val="17"/>
          <w:szCs w:val="17"/>
        </w:rPr>
        <w:t>, B., Scrivener, K., &amp; Hooton, R. D. (2011). Supplementary cementitious materials. Cement and Concrete Research, 41(12), 1244–1256.</w:t>
      </w:r>
    </w:p>
    <w:p w14:paraId="4379A492" w14:textId="1DD7AF77" w:rsidR="00450C92" w:rsidRDefault="00000000">
      <w:pPr>
        <w:spacing w:after="4" w:line="190" w:lineRule="auto"/>
        <w:ind w:left="360" w:hanging="360"/>
        <w:jc w:val="both"/>
      </w:pPr>
      <w:r>
        <w:rPr>
          <w:sz w:val="17"/>
          <w:szCs w:val="17"/>
        </w:rPr>
        <w:t>[8</w:t>
      </w:r>
      <w:r w:rsidR="005E7061">
        <w:rPr>
          <w:sz w:val="17"/>
          <w:szCs w:val="17"/>
        </w:rPr>
        <w:t>] Pane</w:t>
      </w:r>
      <w:r>
        <w:rPr>
          <w:sz w:val="17"/>
          <w:szCs w:val="17"/>
        </w:rPr>
        <w:t>, I., &amp; Hansen, W. (2005). Investigation of blended cement hydration by isothermal calorimetry and thermal analysis. Cement and Concrete Research, 35(6), 1155–1164.</w:t>
      </w:r>
    </w:p>
    <w:p w14:paraId="2CAB45D0" w14:textId="388AA578" w:rsidR="00450C92" w:rsidRDefault="00000000">
      <w:pPr>
        <w:spacing w:after="4" w:line="190" w:lineRule="auto"/>
        <w:ind w:left="360" w:hanging="360"/>
        <w:jc w:val="both"/>
      </w:pPr>
      <w:r>
        <w:rPr>
          <w:sz w:val="17"/>
          <w:szCs w:val="17"/>
        </w:rPr>
        <w:t>[9</w:t>
      </w:r>
      <w:r w:rsidR="005E7061">
        <w:rPr>
          <w:sz w:val="17"/>
          <w:szCs w:val="17"/>
        </w:rPr>
        <w:t>] Rastogi</w:t>
      </w:r>
      <w:r>
        <w:rPr>
          <w:sz w:val="17"/>
          <w:szCs w:val="17"/>
        </w:rPr>
        <w:t xml:space="preserve">, H., </w:t>
      </w:r>
      <w:proofErr w:type="spellStart"/>
      <w:r>
        <w:rPr>
          <w:sz w:val="17"/>
          <w:szCs w:val="17"/>
        </w:rPr>
        <w:t>Moharana</w:t>
      </w:r>
      <w:proofErr w:type="spellEnd"/>
      <w:r>
        <w:rPr>
          <w:sz w:val="17"/>
          <w:szCs w:val="17"/>
        </w:rPr>
        <w:t>, S., &amp; Subhash, S. (2024). Prediction of hydration properties and microstructure development of cement mortar using VCCTL. Discover Civil Engineering, 1, 152.</w:t>
      </w:r>
    </w:p>
    <w:p w14:paraId="41A20F0F" w14:textId="65A3D619" w:rsidR="00450C92" w:rsidRDefault="00000000">
      <w:pPr>
        <w:spacing w:after="4" w:line="190" w:lineRule="auto"/>
        <w:ind w:left="360" w:hanging="360"/>
        <w:jc w:val="both"/>
      </w:pPr>
      <w:r>
        <w:rPr>
          <w:sz w:val="17"/>
          <w:szCs w:val="17"/>
        </w:rPr>
        <w:t>[10</w:t>
      </w:r>
      <w:r w:rsidR="005E7061">
        <w:rPr>
          <w:sz w:val="17"/>
          <w:szCs w:val="17"/>
        </w:rPr>
        <w:t>] RILEM</w:t>
      </w:r>
      <w:r>
        <w:rPr>
          <w:sz w:val="17"/>
          <w:szCs w:val="17"/>
        </w:rPr>
        <w:t xml:space="preserve"> TC 119-TCE (1997). Adiabatic and semi-adiabatic calorimetry to determine the temperature increase in concrete due to hydration heat of cement. Materials and Structures, 30(8), 451–464.</w:t>
      </w:r>
    </w:p>
    <w:p w14:paraId="01288BC5" w14:textId="5403A66C" w:rsidR="00450C92" w:rsidRDefault="00000000">
      <w:pPr>
        <w:spacing w:after="4" w:line="190" w:lineRule="auto"/>
        <w:ind w:left="360" w:hanging="360"/>
        <w:jc w:val="both"/>
      </w:pPr>
      <w:r>
        <w:rPr>
          <w:sz w:val="17"/>
          <w:szCs w:val="17"/>
        </w:rPr>
        <w:t>[11</w:t>
      </w:r>
      <w:r w:rsidR="005E7061">
        <w:rPr>
          <w:sz w:val="17"/>
          <w:szCs w:val="17"/>
        </w:rPr>
        <w:t>] Scrivener</w:t>
      </w:r>
      <w:r>
        <w:rPr>
          <w:sz w:val="17"/>
          <w:szCs w:val="17"/>
        </w:rPr>
        <w:t xml:space="preserve">, K. L., </w:t>
      </w:r>
      <w:proofErr w:type="spellStart"/>
      <w:r>
        <w:rPr>
          <w:sz w:val="17"/>
          <w:szCs w:val="17"/>
        </w:rPr>
        <w:t>Juilland</w:t>
      </w:r>
      <w:proofErr w:type="spellEnd"/>
      <w:r>
        <w:rPr>
          <w:sz w:val="17"/>
          <w:szCs w:val="17"/>
        </w:rPr>
        <w:t>, P., &amp; Monteiro, P. J. M. (2015). Advances in understanding hydration of Portland cement. Cement and Concrete Research, 78, 38–56.</w:t>
      </w:r>
    </w:p>
    <w:p w14:paraId="0B86A577" w14:textId="47713929" w:rsidR="00450C92" w:rsidRDefault="00000000">
      <w:pPr>
        <w:spacing w:after="4" w:line="190" w:lineRule="auto"/>
        <w:ind w:left="360" w:hanging="360"/>
        <w:jc w:val="both"/>
      </w:pPr>
      <w:r>
        <w:rPr>
          <w:sz w:val="17"/>
          <w:szCs w:val="17"/>
        </w:rPr>
        <w:t>[12</w:t>
      </w:r>
      <w:r w:rsidR="005E7061">
        <w:rPr>
          <w:sz w:val="17"/>
          <w:szCs w:val="17"/>
        </w:rPr>
        <w:t>] Taylor</w:t>
      </w:r>
      <w:r>
        <w:rPr>
          <w:sz w:val="17"/>
          <w:szCs w:val="17"/>
        </w:rPr>
        <w:t>, H. F. W. (1997). Cement Chemistry (2nd ed.). Thomas Telford, London.</w:t>
      </w:r>
    </w:p>
    <w:sectPr w:rsidR="00450C9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013542"/>
    <w:multiLevelType w:val="hybridMultilevel"/>
    <w:tmpl w:val="AA2CCDBA"/>
    <w:lvl w:ilvl="0" w:tplc="DC2E7B20">
      <w:start w:val="1"/>
      <w:numFmt w:val="bullet"/>
      <w:lvlText w:val="●"/>
      <w:lvlJc w:val="left"/>
      <w:pPr>
        <w:ind w:left="720" w:hanging="360"/>
      </w:pPr>
    </w:lvl>
    <w:lvl w:ilvl="1" w:tplc="EBEE98C8">
      <w:start w:val="1"/>
      <w:numFmt w:val="bullet"/>
      <w:lvlText w:val="○"/>
      <w:lvlJc w:val="left"/>
      <w:pPr>
        <w:ind w:left="1440" w:hanging="360"/>
      </w:pPr>
    </w:lvl>
    <w:lvl w:ilvl="2" w:tplc="B47CABAE">
      <w:start w:val="1"/>
      <w:numFmt w:val="bullet"/>
      <w:lvlText w:val="■"/>
      <w:lvlJc w:val="left"/>
      <w:pPr>
        <w:ind w:left="2160" w:hanging="360"/>
      </w:pPr>
    </w:lvl>
    <w:lvl w:ilvl="3" w:tplc="D27C60A4">
      <w:start w:val="1"/>
      <w:numFmt w:val="bullet"/>
      <w:lvlText w:val="●"/>
      <w:lvlJc w:val="left"/>
      <w:pPr>
        <w:ind w:left="2880" w:hanging="360"/>
      </w:pPr>
    </w:lvl>
    <w:lvl w:ilvl="4" w:tplc="EDD0FA30">
      <w:start w:val="1"/>
      <w:numFmt w:val="bullet"/>
      <w:lvlText w:val="○"/>
      <w:lvlJc w:val="left"/>
      <w:pPr>
        <w:ind w:left="3600" w:hanging="360"/>
      </w:pPr>
    </w:lvl>
    <w:lvl w:ilvl="5" w:tplc="A04060E8">
      <w:start w:val="1"/>
      <w:numFmt w:val="bullet"/>
      <w:lvlText w:val="■"/>
      <w:lvlJc w:val="left"/>
      <w:pPr>
        <w:ind w:left="4320" w:hanging="360"/>
      </w:pPr>
    </w:lvl>
    <w:lvl w:ilvl="6" w:tplc="1BD65F3C">
      <w:start w:val="1"/>
      <w:numFmt w:val="bullet"/>
      <w:lvlText w:val="●"/>
      <w:lvlJc w:val="left"/>
      <w:pPr>
        <w:ind w:left="5040" w:hanging="360"/>
      </w:pPr>
    </w:lvl>
    <w:lvl w:ilvl="7" w:tplc="148A3654">
      <w:start w:val="1"/>
      <w:numFmt w:val="bullet"/>
      <w:lvlText w:val="●"/>
      <w:lvlJc w:val="left"/>
      <w:pPr>
        <w:ind w:left="5760" w:hanging="360"/>
      </w:pPr>
    </w:lvl>
    <w:lvl w:ilvl="8" w:tplc="AEF68CF6">
      <w:start w:val="1"/>
      <w:numFmt w:val="bullet"/>
      <w:lvlText w:val="●"/>
      <w:lvlJc w:val="left"/>
      <w:pPr>
        <w:ind w:left="6480" w:hanging="360"/>
      </w:pPr>
    </w:lvl>
  </w:abstractNum>
  <w:num w:numId="1" w16cid:durableId="20815153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C92"/>
    <w:rsid w:val="00037994"/>
    <w:rsid w:val="00450C92"/>
    <w:rsid w:val="005E7061"/>
    <w:rsid w:val="00E272BD"/>
    <w:rsid w:val="00EF09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792F2D"/>
  <w15:docId w15:val="{4105BB27-DBE3-4560-B0C0-DB191CB14C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6</Pages>
  <Words>2550</Words>
  <Characters>14536</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Abdur Nur Tushar</cp:lastModifiedBy>
  <cp:revision>3</cp:revision>
  <dcterms:created xsi:type="dcterms:W3CDTF">2026-06-13T16:15:00Z</dcterms:created>
  <dcterms:modified xsi:type="dcterms:W3CDTF">2026-06-15T11:13:00Z</dcterms:modified>
</cp:coreProperties>
</file>