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6"/>
          <w:szCs w:val="26"/>
        </w:rPr>
        <w:t xml:space="preserve">HYDRATION BEHAVIOR OF PORTLAND AND COMPOSITE CEMENTS UNDER SEMI-ADIABATIC CONDITIONS</w:t>
      </w:r>
    </w:p>
    <w:p>
      <w:pPr>
        <w:spacing w:after="40" w:before="0"/>
        <w:jc w:val="center"/>
      </w:pPr>
      <w:r>
        <w:rPr>
          <w:rFonts w:ascii="Times New Roman" w:cs="Times New Roman" w:eastAsia="Times New Roman" w:hAnsi="Times New Roman"/>
          <w:b/>
          <w:bCs/>
          <w:sz w:val="20"/>
          <w:szCs w:val="20"/>
        </w:rPr>
        <w:t xml:space="preserve">Abdur Nur Tushar¹ and Zisan Zia¹</w:t>
      </w:r>
    </w:p>
    <w:p>
      <w:pPr>
        <w:spacing w:after="40" w:before="0"/>
        <w:jc w:val="center"/>
      </w:pPr>
      <w:r>
        <w:rPr>
          <w:rFonts w:ascii="Times New Roman" w:cs="Times New Roman" w:eastAsia="Times New Roman" w:hAnsi="Times New Roman"/>
          <w:i/>
          <w:iCs/>
          <w:sz w:val="19"/>
          <w:szCs w:val="19"/>
        </w:rPr>
        <w:t xml:space="preserve">Supervised by: Dr. Raquib Ahsan²</w:t>
      </w:r>
    </w:p>
    <w:p>
      <w:pPr>
        <w:spacing w:after="40" w:before="0"/>
        <w:jc w:val="center"/>
      </w:pPr>
      <w:r>
        <w:rPr>
          <w:rFonts w:ascii="Times New Roman" w:cs="Times New Roman" w:eastAsia="Times New Roman" w:hAnsi="Times New Roman"/>
          <w:sz w:val="17"/>
          <w:szCs w:val="17"/>
        </w:rPr>
        <w:t xml:space="preserve">¹B.Sc. Graduate (2026), Department of Civil Engineering, Bangladesh University of Engineering and Technology (BUET), Dhaka-1000, Bangladesh</w:t>
      </w:r>
    </w:p>
    <w:p>
      <w:pPr>
        <w:spacing w:after="40" w:before="0"/>
        <w:jc w:val="center"/>
      </w:pPr>
      <w:r>
        <w:rPr>
          <w:rFonts w:ascii="Times New Roman" w:cs="Times New Roman" w:eastAsia="Times New Roman" w:hAnsi="Times New Roman"/>
          <w:sz w:val="17"/>
          <w:szCs w:val="17"/>
        </w:rPr>
        <w:t xml:space="preserve">²Professor, Department of Civil Engineering, Bangladesh University of Engineering and Technology (BUET), Dhaka-1000, Bangladesh</w:t>
      </w:r>
    </w:p>
    <w:p>
      <w:pPr>
        <w:spacing w:after="160" w:before="0"/>
        <w:jc w:val="center"/>
      </w:pPr>
      <w:r>
        <w:rPr>
          <w:rFonts w:ascii="Times New Roman" w:cs="Times New Roman" w:eastAsia="Times New Roman" w:hAnsi="Times New Roman"/>
          <w:i/>
          <w:iCs/>
          <w:sz w:val="17"/>
          <w:szCs w:val="17"/>
        </w:rPr>
        <w:t xml:space="preserve">Corresponding author e-mail: raquibahsan@ce.buet.ac.bd</w:t>
      </w:r>
    </w:p>
    <w:p>
      <w:pPr>
        <w:spacing w:after="80" w:before="160"/>
      </w:pPr>
      <w:r>
        <w:rPr>
          <w:rFonts w:ascii="Times New Roman" w:cs="Times New Roman" w:eastAsia="Times New Roman" w:hAnsi="Times New Roman"/>
          <w:b/>
          <w:bCs/>
          <w:caps/>
          <w:sz w:val="22"/>
          <w:szCs w:val="22"/>
        </w:rPr>
        <w:t xml:space="preserve">ABSTRACT</w:t>
      </w:r>
    </w:p>
    <w:p>
      <w:pPr>
        <w:spacing w:after="80" w:before="80"/>
        <w:ind/>
        <w:jc w:val="both"/>
      </w:pPr>
      <w:r>
        <w:rPr>
          <w:rFonts w:ascii="Times New Roman" w:cs="Times New Roman" w:eastAsia="Times New Roman" w:hAnsi="Times New Roman"/>
          <w:sz w:val="20"/>
          <w:szCs w:val="20"/>
        </w:rPr>
        <w:t xml:space="preserve">Heat generated during cement hydration is a critical factor influencing temperature rise and the risk of thermal cracking in mass concrete structures. This study investigates the hydration behavior of four commercially available cements conforming to BDS EN 197-1:2003 — CEM I 52.5N, CEM II A-M 42.5N, CEM II A-M 42.5R, and CEM II B-M 42.5N — under semi-adiabatic and sealed conditions. Mineralogical characterization was performed using X-ray diffraction (XRD) on a PANalytical EMPYREAN diffractometer with HighScore Plus software to identify major clinker phases (C₃S, C₂S, C₃A, C₄AF). Hydration heat evolution was monitored by a calibrated bench-top semi-adiabatic calorimeter. Recorded temperature–time data were processed in MATLAB to compute the heat generation rate and cumulative heat release. A two-component Gaussian model was applied to resolve the overlapping early aluminate (C₃A) and dominant silicate (C₃S) hydration peaks, and sixth-order polynomial functions were fitted to the cumulative heat curves for use in numerical thermal simulations. Results were further validated using the NIST Virtual Cement and Concrete Testing Laboratory (VCCTL). CEM I 52.5N exhibited the highest cumulative heat (~467 J/g) and the fastest hydration kinetics, indicating the greatest thermal cracking potential. CEM II A-M 42.5R showed near-Portland early-age reactivity (~433 J/g) driven by its rapid-hardening classification. CEM II A-M 42.5N displayed intermediate behavior (~284 J/g), while CEM II B-M 42.5N released the least heat (~255 J/g), rendering it most suitable for thermally sensitive mass concrete. The experimental heat ranking — CEM I 52.5N &gt; CEM II A-M 42.5R &gt; CEM II A-M 42.5N &gt; CEM II B-M 42.5N — was confirmed by VCCTL predictions. The developed hydration models provide practical input parameters for thermal analysis, cement selection, and temperature-control strategies in mass concrete construction in Bangladesh.</w:t>
      </w:r>
    </w:p>
    <w:p>
      <w:pPr>
        <w:spacing w:after="0" w:before="0"/>
      </w:pPr>
      <w:r>
        <w:rPr>
          <w:sz w:val="20"/>
          <w:szCs w:val="20"/>
        </w:rPr>
        <w:t xml:space="preserve"/>
      </w:r>
    </w:p>
    <w:p>
      <w:pPr>
        <w:spacing w:after="120" w:before="6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heat of hydration; semi-adiabatic calorimetry; XRD characterization; Gaussian modeling; VCCTL; mass concrete; thermal cracking.</w:t>
      </w:r>
    </w:p>
    <w:p>
      <w:pPr>
        <w:spacing w:after="80" w:before="160"/>
      </w:pPr>
      <w:r>
        <w:rPr>
          <w:rFonts w:ascii="Times New Roman" w:cs="Times New Roman" w:eastAsia="Times New Roman" w:hAnsi="Times New Roman"/>
          <w:b/>
          <w:bCs/>
          <w:caps/>
          <w:sz w:val="22"/>
          <w:szCs w:val="22"/>
        </w:rPr>
        <w:t xml:space="preserve">1. INTRODUCTION</w:t>
      </w:r>
    </w:p>
    <w:p>
      <w:pPr>
        <w:spacing w:after="80" w:before="80"/>
        <w:ind/>
        <w:jc w:val="both"/>
      </w:pPr>
      <w:r>
        <w:rPr>
          <w:rFonts w:ascii="Times New Roman" w:cs="Times New Roman" w:eastAsia="Times New Roman" w:hAnsi="Times New Roman"/>
          <w:sz w:val="20"/>
          <w:szCs w:val="20"/>
        </w:rPr>
        <w:t xml:space="preserve">Cement hydration is an exothermic process that releases substantial heat, particularly in mass concrete elements such as raft foundations, bridge piers, and retaining walls. The temperature gradient between a hot concrete core and a cooler surface induces tensile stresses that can exceed the tensile capacity of young concrete, resulting in early-age thermal cracking (Klemczak and Batog, 2016). Accurate characterization of hydration kinetics is therefore essential for temperature-control design.</w:t>
      </w:r>
    </w:p>
    <w:p>
      <w:pPr>
        <w:spacing w:after="80" w:before="80"/>
        <w:ind/>
        <w:jc w:val="both"/>
      </w:pPr>
      <w:r>
        <w:rPr>
          <w:rFonts w:ascii="Times New Roman" w:cs="Times New Roman" w:eastAsia="Times New Roman" w:hAnsi="Times New Roman"/>
          <w:sz w:val="20"/>
          <w:szCs w:val="20"/>
        </w:rPr>
        <w:t xml:space="preserve">Ordinary Portland cement (CEM I) generally exhibits rapid hydration and high heat evolution owing to its high clinker content. Composite cements (CEM II) reduce cumulative heat through partial clinker replacement by supplementary cementitious materials (SCMs) such as limestone, fly ash, and slag (Lothenbach et al., 2011). However, the role of strength class — particularly the distinction between normal-strength (N) and rapid-hardening (R) grades — on early-age hydration heat is insufficiently documented for commercially produced cements conforming to BDS EN 197-1.</w:t>
      </w:r>
    </w:p>
    <w:p>
      <w:pPr>
        <w:spacing w:after="80" w:before="80"/>
        <w:ind/>
        <w:jc w:val="both"/>
      </w:pPr>
      <w:r>
        <w:rPr>
          <w:rFonts w:ascii="Times New Roman" w:cs="Times New Roman" w:eastAsia="Times New Roman" w:hAnsi="Times New Roman"/>
          <w:sz w:val="20"/>
          <w:szCs w:val="20"/>
        </w:rPr>
        <w:t xml:space="preserve">Most published hydration heat studies focus on North American or European cements; data on Bangladeshi commercial cements are scarce. This research addresses that gap by experimentally characterizing four commonly used BDS EN 197-1:2003-compliant cements, developing analytical hydration models, and validating results using NIST VCCTL — an integrated approach rarely reported at the undergraduate level for Bangladeshi cement systems.</w:t>
      </w:r>
    </w:p>
    <w:p>
      <w:pPr>
        <w:spacing w:after="80" w:before="160"/>
      </w:pPr>
      <w:r>
        <w:rPr>
          <w:rFonts w:ascii="Times New Roman" w:cs="Times New Roman" w:eastAsia="Times New Roman" w:hAnsi="Times New Roman"/>
          <w:b/>
          <w:bCs/>
          <w:caps/>
          <w:sz w:val="22"/>
          <w:szCs w:val="22"/>
        </w:rPr>
        <w:t xml:space="preserve">2. MATERIALS AND METHODOLOGY</w:t>
      </w:r>
    </w:p>
    <w:p>
      <w:pPr>
        <w:spacing w:after="60" w:before="120"/>
      </w:pPr>
      <w:r>
        <w:rPr>
          <w:rFonts w:ascii="Times New Roman" w:cs="Times New Roman" w:eastAsia="Times New Roman" w:hAnsi="Times New Roman"/>
          <w:b/>
          <w:bCs/>
          <w:sz w:val="20"/>
          <w:szCs w:val="20"/>
        </w:rPr>
        <w:t xml:space="preserve">2.1 Cement Samples</w:t>
      </w:r>
    </w:p>
    <w:p>
      <w:pPr>
        <w:spacing w:after="80" w:before="80"/>
        <w:ind/>
        <w:jc w:val="both"/>
      </w:pPr>
      <w:r>
        <w:rPr>
          <w:rFonts w:ascii="Times New Roman" w:cs="Times New Roman" w:eastAsia="Times New Roman" w:hAnsi="Times New Roman"/>
          <w:sz w:val="20"/>
          <w:szCs w:val="20"/>
        </w:rPr>
        <w:t xml:space="preserve">Four commercially available cements were selected (Table 1). All samples were collected from sealed bags and stored in airtight containers to prevent pre-hydration and carbonation prior to testing.</w:t>
      </w:r>
    </w:p>
    <w:p>
      <w:pPr>
        <w:spacing w:after="0" w:before="0"/>
      </w:pPr>
      <w:r>
        <w:rPr>
          <w:sz w:val="20"/>
          <w:szCs w:val="20"/>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800"/>
        <w:gridCol w:w="2640"/>
        <w:gridCol w:w="1800"/>
        <w:gridCol w:w="4200"/>
      </w:tblGrid>
      <w:tr>
        <w:trPr>
          <w:tblHeader/>
        </w:trPr>
        <w:tc>
          <w:tcPr>
            <w:tcW w:type="dxa" w:w="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Sample ID</w:t>
            </w:r>
          </w:p>
        </w:tc>
        <w:tc>
          <w:tcPr>
            <w:tcW w:type="dxa" w:w="264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Cement Type</w:t>
            </w:r>
          </w:p>
        </w:tc>
        <w:tc>
          <w:tcPr>
            <w:tcW w:type="dxa" w:w="1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Designation</w:t>
            </w:r>
          </w:p>
        </w:tc>
        <w:tc>
          <w:tcPr>
            <w:tcW w:type="dxa" w:w="4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Expected Behavior</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Cement 1</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iCs/>
                <w:sz w:val="18"/>
                <w:szCs w:val="18"/>
              </w:rPr>
              <w:t xml:space="preserve">CEM II B-M 42.5N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High-blend composite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Lowest heat; slowest kinetics</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Cement 2</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iCs/>
                <w:sz w:val="18"/>
                <w:szCs w:val="18"/>
              </w:rPr>
              <w:t xml:space="preserve">CEM II A-M 42.5N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Moderate-blend composite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Intermediate heat evolution</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Cement 3</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iCs/>
                <w:sz w:val="18"/>
                <w:szCs w:val="18"/>
              </w:rPr>
              <w:t xml:space="preserve">CEM II A-M 42.5R</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Rapid-hardening composite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Accelerated early heat; finer grinding</w:t>
            </w:r>
          </w:p>
        </w:tc>
      </w:tr>
      <w:t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Cement 4</w:t>
            </w:r>
          </w:p>
        </w:tc>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iCs/>
                <w:sz w:val="18"/>
                <w:szCs w:val="18"/>
              </w:rPr>
              <w:t xml:space="preserve">CEM I 52.5N</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Ordinary Portland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Highest heat; fastest kinetics</w:t>
            </w:r>
          </w:p>
        </w:tc>
      </w:tr>
    </w:tbl>
    <w:p>
      <w:pPr>
        <w:spacing w:after="80" w:before="60"/>
        <w:jc w:val="center"/>
      </w:pPr>
      <w:r>
        <w:rPr>
          <w:rFonts w:ascii="Times New Roman" w:cs="Times New Roman" w:eastAsia="Times New Roman" w:hAnsi="Times New Roman"/>
          <w:i/>
          <w:iCs/>
          <w:sz w:val="18"/>
          <w:szCs w:val="18"/>
        </w:rPr>
        <w:t xml:space="preserve">Table 1. Cement sample identification</w:t>
      </w:r>
    </w:p>
    <w:p>
      <w:pPr>
        <w:spacing w:after="0" w:before="0"/>
      </w:pPr>
      <w:r>
        <w:rPr>
          <w:sz w:val="20"/>
          <w:szCs w:val="20"/>
        </w:rPr>
        <w:t xml:space="preserve"/>
      </w:r>
    </w:p>
    <w:p>
      <w:pPr>
        <w:spacing w:after="60" w:before="120"/>
      </w:pPr>
      <w:r>
        <w:rPr>
          <w:rFonts w:ascii="Times New Roman" w:cs="Times New Roman" w:eastAsia="Times New Roman" w:hAnsi="Times New Roman"/>
          <w:b/>
          <w:bCs/>
          <w:sz w:val="20"/>
          <w:szCs w:val="20"/>
        </w:rPr>
        <w:t xml:space="preserve">2.2 XRD Characterization</w:t>
      </w:r>
    </w:p>
    <w:p>
      <w:pPr>
        <w:spacing w:after="80" w:before="80"/>
        <w:ind/>
        <w:jc w:val="both"/>
      </w:pPr>
      <w:r>
        <w:rPr>
          <w:rFonts w:ascii="Times New Roman" w:cs="Times New Roman" w:eastAsia="Times New Roman" w:hAnsi="Times New Roman"/>
          <w:sz w:val="20"/>
          <w:szCs w:val="20"/>
        </w:rPr>
        <w:t xml:space="preserve">Mineralogical characterization was performed using a PANalytical EMPYREAN diffractometer (Cu Kα radiation, λ = 1.5406 Å; scan range 6°–90° 2θ; step 0.026°; 7.14 s/step; 40 mA, 45 kV; 25°C). Phase identification and semi-quantitative estimation were carried out in HighScore Plus using the ICDD PDF-4+ database via the Reference Intensity Ratio (RIR) method:</w:t>
      </w:r>
    </w:p>
    <w:p>
      <w:pPr>
        <w:spacing w:after="80" w:before="80"/>
        <w:jc w:val="center"/>
      </w:pPr>
      <w:r>
        <w:rPr>
          <w:rFonts w:ascii="Times New Roman" w:cs="Times New Roman" w:eastAsia="Times New Roman" w:hAnsi="Times New Roman"/>
          <w:i/>
          <w:iCs/>
          <w:sz w:val="20"/>
          <w:szCs w:val="20"/>
        </w:rPr>
        <w:t xml:space="preserve">Phaseᵢ (%) = (Scale factorᵢ / Σ Scale factors) × 100</w:t>
      </w:r>
    </w:p>
    <w:p>
      <w:pPr>
        <w:spacing w:after="60" w:before="120"/>
      </w:pPr>
      <w:r>
        <w:rPr>
          <w:rFonts w:ascii="Times New Roman" w:cs="Times New Roman" w:eastAsia="Times New Roman" w:hAnsi="Times New Roman"/>
          <w:b/>
          <w:bCs/>
          <w:sz w:val="20"/>
          <w:szCs w:val="20"/>
        </w:rPr>
        <w:t xml:space="preserve">2.3 Semi-Adiabatic Calorimetry</w:t>
      </w:r>
    </w:p>
    <w:p>
      <w:pPr>
        <w:spacing w:after="80" w:before="80"/>
        <w:ind/>
        <w:jc w:val="both"/>
      </w:pPr>
      <w:r>
        <w:rPr>
          <w:rFonts w:ascii="Times New Roman" w:cs="Times New Roman" w:eastAsia="Times New Roman" w:hAnsi="Times New Roman"/>
          <w:sz w:val="20"/>
          <w:szCs w:val="20"/>
        </w:rPr>
        <w:t xml:space="preserve">Cement pastes were prepared at w/c = 0.40 (~200 mL per trial). A custom bench-top semi-adiabatic calorimeter was used; both sample temperature (Tₛ) and ambient temperature (T_amb) were recorded at 60-second intervals. The calorimeter was calibrated by electrical heating (P = 500 W; ΔT = 40.3 K; τ = 248 s) to yield an effective system heat capacity C = 3076.9 J/K (insulator contribution Cᵢₙₛ = 1386.6 J/K). The heat-loss coefficient Kₗ = 2.13 J/min/K was determined from a cooling-curve fit.</w:t>
      </w:r>
    </w:p>
    <w:p>
      <w:pPr>
        <w:spacing w:after="80" w:before="80"/>
        <w:ind/>
        <w:jc w:val="both"/>
      </w:pPr>
      <w:r>
        <w:rPr>
          <w:rFonts w:ascii="Times New Roman" w:cs="Times New Roman" w:eastAsia="Times New Roman" w:hAnsi="Times New Roman"/>
          <w:sz w:val="20"/>
          <w:szCs w:val="20"/>
        </w:rPr>
        <w:t xml:space="preserve">The instantaneous heat generation rate and cumulative heat release were obtained from the governing semi-adiabatic energy balance:</w:t>
      </w:r>
    </w:p>
    <w:p>
      <w:pPr>
        <w:spacing w:after="40" w:before="80"/>
        <w:jc w:val="center"/>
      </w:pPr>
      <w:r>
        <w:rPr>
          <w:rFonts w:ascii="Times New Roman" w:cs="Times New Roman" w:eastAsia="Times New Roman" w:hAnsi="Times New Roman"/>
          <w:i/>
          <w:iCs/>
          <w:sz w:val="20"/>
          <w:szCs w:val="20"/>
        </w:rPr>
        <w:t xml:space="preserve">q_reaction(t) = Cₐ(dT/dt) + Kₗ[Tₛ(t) − T_amb(t)]        (1)</w:t>
      </w:r>
    </w:p>
    <w:p>
      <w:pPr>
        <w:spacing w:after="80" w:before="40"/>
        <w:jc w:val="center"/>
      </w:pPr>
      <w:r>
        <w:rPr>
          <w:rFonts w:ascii="Times New Roman" w:cs="Times New Roman" w:eastAsia="Times New Roman" w:hAnsi="Times New Roman"/>
          <w:i/>
          <w:iCs/>
          <w:sz w:val="20"/>
          <w:szCs w:val="20"/>
        </w:rPr>
        <w:t xml:space="preserve">Q(t) = ∫₀ᵗ q(t) dt  [Simpson's 1/3 Rule]        (2)</w:t>
      </w:r>
    </w:p>
    <w:p>
      <w:pPr>
        <w:spacing w:after="80" w:before="80"/>
        <w:ind/>
        <w:jc w:val="both"/>
      </w:pPr>
      <w:r>
        <w:rPr>
          <w:rFonts w:ascii="Times New Roman" w:cs="Times New Roman" w:eastAsia="Times New Roman" w:hAnsi="Times New Roman"/>
          <w:sz w:val="20"/>
          <w:szCs w:val="20"/>
        </w:rPr>
        <w:t xml:space="preserve">where Cₐ is a degree-of-hydration-dependent heat capacity based on the De Schutter–Taerwe model: Cₐ = 1160.67 × (1.5 − 0.5r), with r derived from VCCTL-simulated heat release data.</w:t>
      </w:r>
    </w:p>
    <w:p>
      <w:pPr>
        <w:spacing w:after="60" w:before="120"/>
      </w:pPr>
      <w:r>
        <w:rPr>
          <w:rFonts w:ascii="Times New Roman" w:cs="Times New Roman" w:eastAsia="Times New Roman" w:hAnsi="Times New Roman"/>
          <w:b/>
          <w:bCs/>
          <w:sz w:val="20"/>
          <w:szCs w:val="20"/>
        </w:rPr>
        <w:t xml:space="preserve">2.4 MATLAB-Based Analytical Modeling</w:t>
      </w:r>
    </w:p>
    <w:p>
      <w:pPr>
        <w:spacing w:after="80" w:before="80"/>
        <w:ind/>
        <w:jc w:val="both"/>
      </w:pPr>
      <w:r>
        <w:rPr>
          <w:rFonts w:ascii="Times New Roman" w:cs="Times New Roman" w:eastAsia="Times New Roman" w:hAnsi="Times New Roman"/>
          <w:sz w:val="20"/>
          <w:szCs w:val="20"/>
        </w:rPr>
        <w:t xml:space="preserve">Temperature data were preprocessed (interpolation, smoothing, alignment at t = 0) and differentiated numerically in MATLAB. A two-component Gaussian model (Gauss-2) was fitted to the heat rate curves to separately resolve the early C₃A aluminate peak (G₁) and the dominant C₃S silicate peak (G₂):</w:t>
      </w:r>
    </w:p>
    <w:p>
      <w:pPr>
        <w:spacing w:after="80" w:before="80"/>
        <w:jc w:val="center"/>
      </w:pPr>
      <w:r>
        <w:rPr>
          <w:rFonts w:ascii="Times New Roman" w:cs="Times New Roman" w:eastAsia="Times New Roman" w:hAnsi="Times New Roman"/>
          <w:i/>
          <w:iCs/>
          <w:sz w:val="20"/>
          <w:szCs w:val="20"/>
        </w:rPr>
        <w:t xml:space="preserve">q(t) = A₁ exp[−((t − μ₁)/σ₁)²] + A₂ exp[−((t − μ₂)/σ₂)²]        (3)</w:t>
      </w:r>
    </w:p>
    <w:p>
      <w:pPr>
        <w:spacing w:after="80" w:before="80"/>
        <w:ind/>
        <w:jc w:val="both"/>
      </w:pPr>
      <w:r>
        <w:rPr>
          <w:rFonts w:ascii="Times New Roman" w:cs="Times New Roman" w:eastAsia="Times New Roman" w:hAnsi="Times New Roman"/>
          <w:sz w:val="20"/>
          <w:szCs w:val="20"/>
        </w:rPr>
        <w:t xml:space="preserve">Sixth-order polynomial functions were additionally fitted to cumulative heat curves (R² &gt; 0.999 for all samples) to yield continuous analytical expressions for use in finite element thermal simulations.</w:t>
      </w:r>
    </w:p>
    <w:p>
      <w:pPr>
        <w:spacing w:after="60" w:before="120"/>
      </w:pPr>
      <w:r>
        <w:rPr>
          <w:rFonts w:ascii="Times New Roman" w:cs="Times New Roman" w:eastAsia="Times New Roman" w:hAnsi="Times New Roman"/>
          <w:b/>
          <w:bCs/>
          <w:sz w:val="20"/>
          <w:szCs w:val="20"/>
        </w:rPr>
        <w:t xml:space="preserve">2.5 VCCTL Validation</w:t>
      </w:r>
    </w:p>
    <w:p>
      <w:pPr>
        <w:spacing w:after="80" w:before="80"/>
        <w:ind/>
        <w:jc w:val="both"/>
      </w:pPr>
      <w:r>
        <w:rPr>
          <w:rFonts w:ascii="Times New Roman" w:cs="Times New Roman" w:eastAsia="Times New Roman" w:hAnsi="Times New Roman"/>
          <w:sz w:val="20"/>
          <w:szCs w:val="20"/>
        </w:rPr>
        <w:t xml:space="preserve">NIST Virtual Cement and Concrete Testing Laboratory (VCCTL) simulations were conducted using XRD-derived clinker phase proportions as primary inputs (w/c = 0.40; isothermal at 20–25°C). Simulated degree of hydration (DOH) and cumulative heat release were compared with experimental calorimetry results at selected time points (6, 12, 19 h) using mean absolute error (MAE) and relative percentage deviation.</w:t>
      </w:r>
    </w:p>
    <w:p>
      <w:pPr>
        <w:spacing w:after="80" w:before="160"/>
      </w:pPr>
      <w:r>
        <w:rPr>
          <w:rFonts w:ascii="Times New Roman" w:cs="Times New Roman" w:eastAsia="Times New Roman" w:hAnsi="Times New Roman"/>
          <w:b/>
          <w:bCs/>
          <w:caps/>
          <w:sz w:val="22"/>
          <w:szCs w:val="22"/>
        </w:rPr>
        <w:t xml:space="preserve">3. RESULTS AND DISCUSSION</w:t>
      </w:r>
    </w:p>
    <w:p>
      <w:pPr>
        <w:spacing w:after="60" w:before="120"/>
      </w:pPr>
      <w:r>
        <w:rPr>
          <w:rFonts w:ascii="Times New Roman" w:cs="Times New Roman" w:eastAsia="Times New Roman" w:hAnsi="Times New Roman"/>
          <w:b/>
          <w:bCs/>
          <w:sz w:val="20"/>
          <w:szCs w:val="20"/>
        </w:rPr>
        <w:t xml:space="preserve">3.1 XRD Phase Composition</w:t>
      </w:r>
    </w:p>
    <w:p>
      <w:pPr>
        <w:spacing w:after="80" w:before="80"/>
        <w:ind/>
        <w:jc w:val="both"/>
      </w:pPr>
      <w:r>
        <w:rPr>
          <w:rFonts w:ascii="Times New Roman" w:cs="Times New Roman" w:eastAsia="Times New Roman" w:hAnsi="Times New Roman"/>
          <w:sz w:val="20"/>
          <w:szCs w:val="20"/>
        </w:rPr>
        <w:t xml:space="preserve">The semi-quantitative XRD phase compositions are summarized in Table 2. Alite (C₃S-related calcium silicate) is the dominant reactive phase across all samples. CEM I 52.5N contains the highest total silicate phase content (alite + Ca-Mg-Al silicate ≈ 60.6%), while CEM II B-M 42.5N shows the highest calcium carbonate fraction (~43.9%), confirming significant clinker dilution. CEM II A-M 42.5R has a pronounced aluminate-type phase (Ca₃Al₂Si₃O₁₂ ≈ 7.7%) consistent with its rapid-hardening characteristics.</w:t>
      </w:r>
    </w:p>
    <w:p>
      <w:pPr>
        <w:spacing w:after="0" w:before="0"/>
      </w:pPr>
      <w:r>
        <w:rPr>
          <w:sz w:val="20"/>
          <w:szCs w:val="20"/>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1660"/>
        <w:gridCol w:w="1660"/>
        <w:gridCol w:w="1660"/>
        <w:gridCol w:w="166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Phase / Compound</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Cement 1
CEM II B-M 42.5N (%)</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Cement 2
CEM II A-M 42.5N (%)</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Cement 3
CEM II A-M 42.5R (%)</w:t>
            </w:r>
          </w:p>
        </w:tc>
        <w:tc>
          <w:tcPr>
            <w:tcW w:type="dxa" w:w="16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Cement 4
CEM I 52.5N (%)</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Alite / C₃S-related silicate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45.1</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41.5</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33.8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28.5</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Additional Ca silicate / C₂S-related</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19.6</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16.9</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26.7</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Aluminate-related phase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6.0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7.7</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12.8</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Ca-Mg-Al silicate (slag-type)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32.1</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Calcium carbonate (CaCO₃)</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43.9</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54.8</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38.0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Quartz (SiO₂)</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5.0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3.7</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3.6</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r>
      <w:t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Fe-Mg carbonate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6.0</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c>
          <w:tcPr>
            <w:tcW w:type="dxa" w:w="16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w:t>
            </w:r>
          </w:p>
        </w:tc>
      </w:tr>
    </w:tbl>
    <w:p>
      <w:pPr>
        <w:spacing w:after="80" w:before="60"/>
        <w:jc w:val="center"/>
      </w:pPr>
      <w:r>
        <w:rPr>
          <w:rFonts w:ascii="Times New Roman" w:cs="Times New Roman" w:eastAsia="Times New Roman" w:hAnsi="Times New Roman"/>
          <w:i/>
          <w:iCs/>
          <w:sz w:val="18"/>
          <w:szCs w:val="18"/>
        </w:rPr>
        <w:t xml:space="preserve">Table 2. Semi-quantitative XRD phase composition of cement samples</w:t>
      </w:r>
    </w:p>
    <w:p>
      <w:pPr>
        <w:spacing w:after="0" w:before="0"/>
      </w:pPr>
      <w:r>
        <w:rPr>
          <w:sz w:val="20"/>
          <w:szCs w:val="20"/>
        </w:rPr>
        <w:t xml:space="preserve"/>
      </w:r>
    </w:p>
    <w:p>
      <w:pPr>
        <w:spacing w:after="80" w:before="80"/>
        <w:ind/>
        <w:jc w:val="both"/>
      </w:pPr>
      <w:r>
        <w:rPr>
          <w:rFonts w:ascii="Times New Roman" w:cs="Times New Roman" w:eastAsia="Times New Roman" w:hAnsi="Times New Roman"/>
          <w:sz w:val="20"/>
          <w:szCs w:val="20"/>
        </w:rPr>
        <w:t xml:space="preserve">The differences in clinker and filler content directly explain the calorimetric results discussed below: higher alite content correlates with faster and more intense silicate hydration, while higher CaCO₃ acts as a dilutant reducing total reactive clinker per gram of cement.</w:t>
      </w:r>
    </w:p>
    <w:p>
      <w:pPr>
        <w:spacing w:after="60" w:before="120"/>
      </w:pPr>
      <w:r>
        <w:rPr>
          <w:rFonts w:ascii="Times New Roman" w:cs="Times New Roman" w:eastAsia="Times New Roman" w:hAnsi="Times New Roman"/>
          <w:b/>
          <w:bCs/>
          <w:sz w:val="20"/>
          <w:szCs w:val="20"/>
        </w:rPr>
        <w:t xml:space="preserve">3.2 Semi-Adiabatic Calorimetric Results</w:t>
      </w:r>
    </w:p>
    <w:p>
      <w:pPr>
        <w:spacing w:after="80" w:before="80"/>
        <w:ind/>
        <w:jc w:val="both"/>
      </w:pPr>
      <w:r>
        <w:rPr>
          <w:rFonts w:ascii="Times New Roman" w:cs="Times New Roman" w:eastAsia="Times New Roman" w:hAnsi="Times New Roman"/>
          <w:sz w:val="20"/>
          <w:szCs w:val="20"/>
        </w:rPr>
        <w:t xml:space="preserve">Processed heat generation rate and cumulative heat curves for all four cements are summarized in Table 3. CEM I 52.5N exhibited the fastest hydration kinetics, with the main silicate peak (G₂) occurring near 290–340 min and a terminal cumulative heat of ~467 J/g. CEM II A-M 42.5R showed notably higher early-age reactivity than its normal-strength counterpart — its G₂ amplitude (~2.2–2.6 J·min⁻¹·g⁻¹) and terminal heat (~433 J/g) placed it close to CEM I, despite containing comparable mineral addition levels to CEM II A-M 42.5N. This behavior is attributed to its finer particle size distribution and higher reactive C₃S content inherent to the rapid-hardening classification. CEM II A-M 42.5N displayed a clearly retarded silicate peak (G₂ at ~400–460 min) and reached ~284 J/g, while CEM II B-M 42.5N showed the latest and most attenuated G₂ peak (~450–510 min) with the lowest terminal heat (~255 J/g), consistent with its highest degree of clinker dilution.</w:t>
      </w:r>
    </w:p>
    <w:p>
      <w:pPr>
        <w:spacing w:after="0" w:before="0"/>
      </w:pPr>
      <w:r>
        <w:rPr>
          <w:sz w:val="20"/>
          <w:szCs w:val="20"/>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1810"/>
        <w:gridCol w:w="1810"/>
        <w:gridCol w:w="1810"/>
        <w:gridCol w:w="181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Parameter</w:t>
            </w:r>
          </w:p>
        </w:tc>
        <w:tc>
          <w:tcPr>
            <w:tcW w:type="dxa" w:w="181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 I
52.5N</w:t>
            </w:r>
          </w:p>
        </w:tc>
        <w:tc>
          <w:tcPr>
            <w:tcW w:type="dxa" w:w="181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 II A-M
42.5N</w:t>
            </w:r>
          </w:p>
        </w:tc>
        <w:tc>
          <w:tcPr>
            <w:tcW w:type="dxa" w:w="181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 II A-M
42.5R</w:t>
            </w:r>
          </w:p>
        </w:tc>
        <w:tc>
          <w:tcPr>
            <w:tcW w:type="dxa" w:w="181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CEM II B-M
42.5N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G₁ Amplitude (J/min·g)</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0.40–0.45</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0.15–0.20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0.30–0.40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0.12–0.16</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G₁ Peak Time (min)</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220–260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280–320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230–270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320–360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G₂ Amplitude (J/min·g)</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2.8–3.3</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1.5–2.0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2.2–2.6</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1.3–1.6</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G₂ Peak Time (min)</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280–340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400–460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310–370</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450–510</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Terminal Cumulative Heat (J/g)</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~467</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~284</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~433</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~255</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Estimated Adiabatic ΔT (°C)</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&gt;40–45</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25–28</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32–38</w:t>
            </w:r>
          </w:p>
        </w:tc>
        <w:tc>
          <w:tcPr>
            <w:tcW w:type="dxa" w:w="181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22–25</w:t>
            </w:r>
          </w:p>
        </w:tc>
      </w:tr>
    </w:tbl>
    <w:p>
      <w:pPr>
        <w:spacing w:after="80" w:before="60"/>
        <w:jc w:val="center"/>
      </w:pPr>
      <w:r>
        <w:rPr>
          <w:rFonts w:ascii="Times New Roman" w:cs="Times New Roman" w:eastAsia="Times New Roman" w:hAnsi="Times New Roman"/>
          <w:i/>
          <w:iCs/>
          <w:sz w:val="18"/>
          <w:szCs w:val="18"/>
        </w:rPr>
        <w:t xml:space="preserve">Table 3. Gaussian model parameters and cumulative heat release for all cement types</w:t>
      </w:r>
    </w:p>
    <w:p>
      <w:pPr>
        <w:spacing w:after="0" w:before="0"/>
      </w:pPr>
      <w:r>
        <w:rPr>
          <w:sz w:val="20"/>
          <w:szCs w:val="20"/>
        </w:rPr>
        <w:t xml:space="preserve"/>
      </w:r>
    </w:p>
    <w:p>
      <w:pPr>
        <w:spacing w:after="60" w:before="120"/>
      </w:pPr>
      <w:r>
        <w:rPr>
          <w:rFonts w:ascii="Times New Roman" w:cs="Times New Roman" w:eastAsia="Times New Roman" w:hAnsi="Times New Roman"/>
          <w:b/>
          <w:bCs/>
          <w:sz w:val="20"/>
          <w:szCs w:val="20"/>
        </w:rPr>
        <w:t xml:space="preserve">3.3 Thermal Cracking Risk Assessment</w:t>
      </w:r>
    </w:p>
    <w:p>
      <w:pPr>
        <w:spacing w:after="80" w:before="80"/>
        <w:ind/>
        <w:jc w:val="both"/>
      </w:pPr>
      <w:r>
        <w:rPr>
          <w:rFonts w:ascii="Times New Roman" w:cs="Times New Roman" w:eastAsia="Times New Roman" w:hAnsi="Times New Roman"/>
          <w:sz w:val="20"/>
          <w:szCs w:val="20"/>
        </w:rPr>
        <w:t xml:space="preserve">The estimated adiabatic temperature rise (ΔT_adiab ≈ Q/Cₚ,paste, Cₚ,paste ≈ 1.0 kJ/kg·K) was used to rank thermal cracking risk in accordance with ACI 207R and CIRIA C660 recommendations (limiting core-to-surface differential ≤ 20°C). The resulting ranking is:</w:t>
      </w:r>
    </w:p>
    <w:p>
      <w:pPr>
        <w:spacing w:after="80" w:before="80"/>
        <w:jc w:val="center"/>
      </w:pPr>
      <w:r>
        <w:rPr>
          <w:rFonts w:ascii="Times New Roman" w:cs="Times New Roman" w:eastAsia="Times New Roman" w:hAnsi="Times New Roman"/>
          <w:b/>
          <w:bCs/>
          <w:sz w:val="20"/>
          <w:szCs w:val="20"/>
        </w:rPr>
        <w:t xml:space="preserve">CEM I 52.5N (&gt;40°C)  &gt;  CEM II A-M 42.5R (~32–38°C)  &gt;  CEM II A-M 42.5N (~25–28°C)  &gt;  CEM II B-M 42.5N (~22–25°C)</w:t>
      </w:r>
    </w:p>
    <w:p>
      <w:pPr>
        <w:spacing w:after="80" w:before="80"/>
        <w:ind/>
        <w:jc w:val="both"/>
      </w:pPr>
      <w:r>
        <w:rPr>
          <w:rFonts w:ascii="Times New Roman" w:cs="Times New Roman" w:eastAsia="Times New Roman" w:hAnsi="Times New Roman"/>
          <w:sz w:val="20"/>
          <w:szCs w:val="20"/>
        </w:rPr>
        <w:t xml:space="preserve">CEM I 52.5N poses the highest risk and requires active thermal management (cooling water, staged casting, insulation control) in thick sections. CEM II A-M 42.5R, despite carrying the 'composite' label, approaches CEM I behavior in early-age heat and should not be used in large pours without thermal mitigation measures. CEM II B-M 42.5N is the most thermally favorable choice for mass concrete in Bangladesh's tropical climate, where elevated ambient temperatures further amplify internal temperature gradients.</w:t>
      </w:r>
    </w:p>
    <w:p>
      <w:pPr>
        <w:spacing w:after="60" w:before="120"/>
      </w:pPr>
      <w:r>
        <w:rPr>
          <w:rFonts w:ascii="Times New Roman" w:cs="Times New Roman" w:eastAsia="Times New Roman" w:hAnsi="Times New Roman"/>
          <w:b/>
          <w:bCs/>
          <w:sz w:val="20"/>
          <w:szCs w:val="20"/>
        </w:rPr>
        <w:t xml:space="preserve">3.4 VCCTL Validation</w:t>
      </w:r>
    </w:p>
    <w:p>
      <w:pPr>
        <w:spacing w:after="80" w:before="80"/>
        <w:ind/>
        <w:jc w:val="both"/>
      </w:pPr>
      <w:r>
        <w:rPr>
          <w:rFonts w:ascii="Times New Roman" w:cs="Times New Roman" w:eastAsia="Times New Roman" w:hAnsi="Times New Roman"/>
          <w:sz w:val="20"/>
          <w:szCs w:val="20"/>
        </w:rPr>
        <w:t xml:space="preserve">VCCTL simulations under isothermal conditions confirmed the experimental heat ranking across all four cements (Table 4). Agreement was closest for the high-clinker cements: the relative deviation between VCCTL-simulated heat at 19 h and the experimental terminal value was −14.3% for CEM I 52.5N and +10.9% for CEM II A-M 42.5R. Larger deviations were observed for the slow-reacting blended cements (+37.3% for CEM II A-M 42.5N; +36.5% for CEM II B-M 42.5N), which is physically expected: VCCTL's isothermal basis yields DOH values approaching ultimate hydration, while the truncated semi-adiabatic experiment under-captures slow later-age heat of low-clinker cements. Overall experimental uncertainty is estimated at ±3% from calorimeter calibration.</w:t>
      </w:r>
    </w:p>
    <w:p>
      <w:pPr>
        <w:spacing w:after="0" w:before="0"/>
      </w:pPr>
      <w:r>
        <w:rPr>
          <w:sz w:val="20"/>
          <w:szCs w:val="20"/>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1560"/>
        <w:gridCol w:w="256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Cement</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Exp. Q (J/g)</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VCCTL Q at 19h (kJ/kg)</w:t>
            </w:r>
          </w:p>
        </w:tc>
        <w:tc>
          <w:tcPr>
            <w:tcW w:type="dxa" w:w="1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Rel. Diff. (%)</w:t>
            </w:r>
          </w:p>
        </w:tc>
        <w:tc>
          <w:tcPr>
            <w:tcW w:type="dxa" w:w="256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Primary Cause of Deviation</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 52.5N</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≈467</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≈400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−14.3</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Semi-adiabatic captures full early peak within test window</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A-M 42.5N</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≈284</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≈390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+37.3</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Isothermal VCCTL reaches DOH ≈ 0.95; slow reaction under-captured experimentally</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A-M 42.5R</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≈433</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≈480</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+10.9</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High fineness; isothermal ultimate heat slightly exceeds truncated experimental value</w:t>
            </w:r>
          </w:p>
        </w:tc>
      </w:tr>
      <w:t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B-M 42.5N</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≈255</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≈348</w:t>
            </w:r>
          </w:p>
        </w:tc>
        <w:tc>
          <w:tcPr>
            <w:tcW w:type="dxa" w:w="1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+36.5</w:t>
            </w:r>
          </w:p>
        </w:tc>
        <w:tc>
          <w:tcPr>
            <w:tcW w:type="dxa" w:w="2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Low clinker; isothermal conditions accelerate slow blended hydration beyond test window</w:t>
            </w:r>
          </w:p>
        </w:tc>
      </w:tr>
    </w:tbl>
    <w:p>
      <w:pPr>
        <w:spacing w:after="80" w:before="60"/>
        <w:jc w:val="center"/>
      </w:pPr>
      <w:r>
        <w:rPr>
          <w:rFonts w:ascii="Times New Roman" w:cs="Times New Roman" w:eastAsia="Times New Roman" w:hAnsi="Times New Roman"/>
          <w:i/>
          <w:iCs/>
          <w:sz w:val="18"/>
          <w:szCs w:val="18"/>
        </w:rPr>
        <w:t xml:space="preserve">Table 4. Comparison of experimental and VCCTL cumulative heat at 19 h</w:t>
      </w:r>
    </w:p>
    <w:p>
      <w:pPr>
        <w:spacing w:after="0" w:before="0"/>
      </w:pPr>
      <w:r>
        <w:rPr>
          <w:sz w:val="20"/>
          <w:szCs w:val="20"/>
        </w:rPr>
        <w:t xml:space="preserve"/>
      </w:r>
    </w:p>
    <w:p>
      <w:pPr>
        <w:spacing w:after="80" w:before="80"/>
        <w:ind/>
        <w:jc w:val="both"/>
      </w:pPr>
      <w:r>
        <w:rPr>
          <w:rFonts w:ascii="Times New Roman" w:cs="Times New Roman" w:eastAsia="Times New Roman" w:hAnsi="Times New Roman"/>
          <w:sz w:val="20"/>
          <w:szCs w:val="20"/>
        </w:rPr>
        <w:t xml:space="preserve">The sixth-order polynomial cumulative heat functions (R² &gt; 0.999) provide smooth, analytically differentiable expressions directly usable as heat source terms in finite element thermal simulation codes, complementing the mechanistic Gaussian rate model.</w:t>
      </w:r>
    </w:p>
    <w:p>
      <w:pPr>
        <w:spacing w:after="80" w:before="160"/>
      </w:pPr>
      <w:r>
        <w:rPr>
          <w:rFonts w:ascii="Times New Roman" w:cs="Times New Roman" w:eastAsia="Times New Roman" w:hAnsi="Times New Roman"/>
          <w:b/>
          <w:bCs/>
          <w:caps/>
          <w:sz w:val="22"/>
          <w:szCs w:val="22"/>
        </w:rPr>
        <w:t xml:space="preserve">4. PRACTICAL IMPLICATIONS FOR MASS CONCRETE IN BANGLADESH</w:t>
      </w:r>
    </w:p>
    <w:p>
      <w:pPr>
        <w:spacing w:after="80" w:before="80"/>
        <w:ind/>
        <w:jc w:val="both"/>
      </w:pPr>
      <w:r>
        <w:rPr>
          <w:rFonts w:ascii="Times New Roman" w:cs="Times New Roman" w:eastAsia="Times New Roman" w:hAnsi="Times New Roman"/>
          <w:sz w:val="20"/>
          <w:szCs w:val="20"/>
        </w:rPr>
        <w:t xml:space="preserve">Based on the measured hydration heat behavior, a practical cement selection framework for temperature-sensitive concrete construction is proposed (Table 5). Bangladesh's tropical climate — with mean ambient temperatures often exceeding 30°C — can amplify the internal temperature rise beyond laboratory predictions, making cement selection a critical first-line mitigation strategy.</w:t>
      </w:r>
    </w:p>
    <w:p>
      <w:pPr>
        <w:spacing w:after="0" w:before="0"/>
      </w:pPr>
      <w:r>
        <w:rPr>
          <w:sz w:val="20"/>
          <w:szCs w:val="20"/>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40"/>
        <w:gridCol w:w="2100"/>
        <w:gridCol w:w="4700"/>
      </w:tblGrid>
      <w:tr>
        <w:trPr>
          <w:tblHeader/>
        </w:trPr>
        <w:tc>
          <w:tcPr>
            <w:tcW w:type="dxa" w:w="264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Cement Type</w:t>
            </w:r>
          </w:p>
        </w:tc>
        <w:tc>
          <w:tcPr>
            <w:tcW w:type="dxa" w:w="21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center"/>
            </w:pPr>
            <w:r>
              <w:rPr>
                <w:rFonts w:ascii="Times New Roman" w:cs="Times New Roman" w:eastAsia="Times New Roman" w:hAnsi="Times New Roman"/>
                <w:b/>
                <w:bCs/>
                <w:sz w:val="18"/>
                <w:szCs w:val="18"/>
              </w:rPr>
              <w:t xml:space="preserve">Thermal Risk</w:t>
            </w:r>
          </w:p>
        </w:tc>
        <w:tc>
          <w:tcPr>
            <w:tcW w:type="dxa" w:w="4700"/>
            <w:tcBorders>
              <w:top w:val="single" w:color="000000" w:sz="4"/>
              <w:left w:val="single" w:color="000000" w:sz="4"/>
              <w:bottom w:val="single" w:color="000000" w:sz="4"/>
              <w:right w:val="single" w:color="000000" w:sz="4"/>
            </w:tcBorders>
            <w:shd w:fill="D9D9D9"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18"/>
                <w:szCs w:val="18"/>
              </w:rPr>
              <w:t xml:space="preserve">Recommended Application Context</w:t>
            </w:r>
          </w:p>
        </w:tc>
      </w:tr>
      <w:t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 52.5N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High</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Early-strength structures; mandatory thermal management in pours &gt;1.0 m thick</w:t>
            </w:r>
          </w:p>
        </w:tc>
      </w:tr>
      <w:t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A-M 42.5R</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Moderate–High</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Applications needing faster strength gain; thermal control required in thick sections</w:t>
            </w:r>
          </w:p>
        </w:tc>
      </w:tr>
      <w:t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A-M 42.5N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Moderate</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General structural concrete; acceptable for moderately thick members</w:t>
            </w:r>
          </w:p>
        </w:tc>
      </w:tr>
      <w:tr>
        <w:tc>
          <w:tcPr>
            <w:tcW w:type="dxa" w:w="26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iCs/>
                <w:sz w:val="18"/>
                <w:szCs w:val="18"/>
              </w:rPr>
              <w:t xml:space="preserve">CEM II B-M 42.5N</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rFonts w:ascii="Times New Roman" w:cs="Times New Roman" w:eastAsia="Times New Roman" w:hAnsi="Times New Roman"/>
                <w:b w:val="false"/>
                <w:bCs w:val="false"/>
                <w:i w:val="false"/>
                <w:iCs w:val="false"/>
                <w:sz w:val="18"/>
                <w:szCs w:val="18"/>
              </w:rPr>
              <w:t xml:space="preserve">Low</w:t>
            </w:r>
          </w:p>
        </w:tc>
        <w:tc>
          <w:tcPr>
            <w:tcW w:type="dxa" w:w="4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rFonts w:ascii="Times New Roman" w:cs="Times New Roman" w:eastAsia="Times New Roman" w:hAnsi="Times New Roman"/>
                <w:b w:val="false"/>
                <w:bCs w:val="false"/>
                <w:i w:val="false"/>
                <w:iCs w:val="false"/>
                <w:sz w:val="18"/>
                <w:szCs w:val="18"/>
              </w:rPr>
              <w:t xml:space="preserve">Preferred for mass concrete: raft foundations, dams, bridge footings in tropical climates</w:t>
            </w:r>
          </w:p>
        </w:tc>
      </w:tr>
    </w:tbl>
    <w:p>
      <w:pPr>
        <w:spacing w:after="80" w:before="60"/>
        <w:jc w:val="center"/>
      </w:pPr>
      <w:r>
        <w:rPr>
          <w:rFonts w:ascii="Times New Roman" w:cs="Times New Roman" w:eastAsia="Times New Roman" w:hAnsi="Times New Roman"/>
          <w:i/>
          <w:iCs/>
          <w:sz w:val="18"/>
          <w:szCs w:val="18"/>
        </w:rPr>
        <w:t xml:space="preserve">Table 5. Cement selection framework for mass concrete in Bangladesh</w:t>
      </w:r>
    </w:p>
    <w:p>
      <w:pPr>
        <w:spacing w:after="0" w:before="0"/>
      </w:pPr>
      <w:r>
        <w:rPr>
          <w:sz w:val="20"/>
          <w:szCs w:val="20"/>
        </w:rPr>
        <w:t xml:space="preserve"/>
      </w:r>
    </w:p>
    <w:p>
      <w:pPr>
        <w:spacing w:after="80" w:before="80"/>
        <w:ind/>
        <w:jc w:val="both"/>
      </w:pPr>
      <w:r>
        <w:rPr>
          <w:rFonts w:ascii="Times New Roman" w:cs="Times New Roman" w:eastAsia="Times New Roman" w:hAnsi="Times New Roman"/>
          <w:sz w:val="20"/>
          <w:szCs w:val="20"/>
        </w:rPr>
        <w:t xml:space="preserve">The MATLAB-generated Gaussian and polynomial model parameters (Table 3) can be directly incorporated as input data for finite element thermal analyses (e.g., FEniCS, DIANA, or commercial tools), enabling engineers to predict temperature fields in actual mass concrete placements without conducting new calorimetric tests for the same cement types.</w:t>
      </w:r>
    </w:p>
    <w:p>
      <w:pPr>
        <w:spacing w:after="80" w:before="160"/>
      </w:pPr>
      <w:r>
        <w:rPr>
          <w:rFonts w:ascii="Times New Roman" w:cs="Times New Roman" w:eastAsia="Times New Roman" w:hAnsi="Times New Roman"/>
          <w:b/>
          <w:bCs/>
          <w:caps/>
          <w:sz w:val="22"/>
          <w:szCs w:val="22"/>
        </w:rPr>
        <w:t xml:space="preserve">5. CONCLUSIONS</w:t>
      </w:r>
    </w:p>
    <w:p>
      <w:pPr>
        <w:spacing w:after="80" w:before="80"/>
        <w:ind/>
        <w:jc w:val="both"/>
      </w:pPr>
      <w:r>
        <w:rPr>
          <w:rFonts w:ascii="Times New Roman" w:cs="Times New Roman" w:eastAsia="Times New Roman" w:hAnsi="Times New Roman"/>
          <w:sz w:val="20"/>
          <w:szCs w:val="20"/>
        </w:rPr>
        <w:t xml:space="preserve">This study presents a comprehensive experimental–analytical–numerical framework for characterizing hydration heat in four BDS EN 197-1:2003-compliant cements used in Bangladesh. The principal conclusions are:</w:t>
      </w:r>
    </w:p>
    <w:p>
      <w:pPr>
        <w:spacing w:after="40" w:before="60"/>
        <w:ind w:left="360"/>
      </w:pPr>
      <w:r>
        <w:rPr>
          <w:rFonts w:ascii="Times New Roman" w:cs="Times New Roman" w:eastAsia="Times New Roman" w:hAnsi="Times New Roman"/>
          <w:sz w:val="20"/>
          <w:szCs w:val="20"/>
        </w:rPr>
        <w:t xml:space="preserve">(1)  CEM I 52.5N produced the highest terminal heat (~467 J/g) and estimated adiabatic ΔT &gt; 40°C, confirming the greatest thermal cracking risk among the tested cements.</w:t>
      </w:r>
    </w:p>
    <w:p>
      <w:pPr>
        <w:spacing w:after="40" w:before="40"/>
        <w:ind w:left="360"/>
      </w:pPr>
      <w:r>
        <w:rPr>
          <w:rFonts w:ascii="Times New Roman" w:cs="Times New Roman" w:eastAsia="Times New Roman" w:hAnsi="Times New Roman"/>
          <w:sz w:val="20"/>
          <w:szCs w:val="20"/>
        </w:rPr>
        <w:t xml:space="preserve">(2)  CEM II A-M 42.5R released ~433 J/g — only ~7% below CEM I — demonstrating that rapid-hardening composite cements can approach Portland cement heat levels and must not be treated equivalently to normal-strength CEM II in thermal risk assessments.</w:t>
      </w:r>
    </w:p>
    <w:p>
      <w:pPr>
        <w:spacing w:after="40" w:before="40"/>
        <w:ind w:left="360"/>
      </w:pPr>
      <w:r>
        <w:rPr>
          <w:rFonts w:ascii="Times New Roman" w:cs="Times New Roman" w:eastAsia="Times New Roman" w:hAnsi="Times New Roman"/>
          <w:sz w:val="20"/>
          <w:szCs w:val="20"/>
        </w:rPr>
        <w:t xml:space="preserve">(3)  CEM II A-M 42.5N showed clearly reduced heat (~284 J/g; ΔT ≈ 25–28°C) due to clinker dilution by limestone and other SCMs.</w:t>
      </w:r>
    </w:p>
    <w:p>
      <w:pPr>
        <w:spacing w:after="40" w:before="40"/>
        <w:ind w:left="360"/>
      </w:pPr>
      <w:r>
        <w:rPr>
          <w:rFonts w:ascii="Times New Roman" w:cs="Times New Roman" w:eastAsia="Times New Roman" w:hAnsi="Times New Roman"/>
          <w:sz w:val="20"/>
          <w:szCs w:val="20"/>
        </w:rPr>
        <w:t xml:space="preserve">(4)  CEM II B-M 42.5N offered the best thermal performance (~255 J/g; ΔT ≈ 22–25°C) and is recommended as the preferred cement for mass concrete applications in Bangladesh.</w:t>
      </w:r>
    </w:p>
    <w:p>
      <w:pPr>
        <w:spacing w:after="80" w:before="40"/>
        <w:ind w:left="360"/>
      </w:pPr>
      <w:r>
        <w:rPr>
          <w:rFonts w:ascii="Times New Roman" w:cs="Times New Roman" w:eastAsia="Times New Roman" w:hAnsi="Times New Roman"/>
          <w:sz w:val="20"/>
          <w:szCs w:val="20"/>
        </w:rPr>
        <w:t xml:space="preserve">(5)  VCCTL predictions confirmed the experimental heat ranking, with deviations of 11–14% for high-clinker cements and ~37% for slow blended cements — the latter attributable to the isothermal basis of VCCTL versus the truncated semi-adiabatic test.</w:t>
      </w:r>
    </w:p>
    <w:p>
      <w:pPr>
        <w:spacing w:after="80" w:before="80"/>
        <w:ind/>
        <w:jc w:val="both"/>
      </w:pPr>
      <w:r>
        <w:rPr>
          <w:rFonts w:ascii="Times New Roman" w:cs="Times New Roman" w:eastAsia="Times New Roman" w:hAnsi="Times New Roman"/>
          <w:sz w:val="20"/>
          <w:szCs w:val="20"/>
        </w:rPr>
        <w:t xml:space="preserve">Future work should extend measurements to additional w/c ratios, apply Rietveld XRD refinement, incorporate Arrhenius temperature correction for field-condition predictions, and validate at concrete (mortar/aggregate) scale.</w:t>
      </w:r>
    </w:p>
    <w:p>
      <w:pPr>
        <w:spacing w:after="80" w:before="160"/>
      </w:pPr>
      <w:r>
        <w:rPr>
          <w:rFonts w:ascii="Times New Roman" w:cs="Times New Roman" w:eastAsia="Times New Roman" w:hAnsi="Times New Roman"/>
          <w:b/>
          <w:bCs/>
          <w:caps/>
          <w:sz w:val="22"/>
          <w:szCs w:val="22"/>
        </w:rPr>
        <w:t xml:space="preserve">ACKNOWLEDGEMENTS</w:t>
      </w:r>
    </w:p>
    <w:p>
      <w:pPr>
        <w:spacing w:after="80" w:before="80"/>
        <w:ind/>
        <w:jc w:val="both"/>
      </w:pPr>
      <w:r>
        <w:rPr>
          <w:rFonts w:ascii="Times New Roman" w:cs="Times New Roman" w:eastAsia="Times New Roman" w:hAnsi="Times New Roman"/>
          <w:sz w:val="20"/>
          <w:szCs w:val="20"/>
        </w:rPr>
        <w:t xml:space="preserve">The authors gratefully acknowledge the guidance of Dr. Raquib Ahsan (Professor, BUET) and the support of the Department of Civil Engineering, BUET. XRD measurements were conducted at the PANalytical EMPYREAN facility made available through the department. VCCTL simulations were performed using the NIST Virtual Cement and Concrete Testing Laboratory. The authors thank all laboratory personnel who assisted during the experimental program.</w:t>
      </w:r>
    </w:p>
    <w:p>
      <w:pPr>
        <w:spacing w:after="80" w:before="160"/>
      </w:pPr>
      <w:r>
        <w:rPr>
          <w:rFonts w:ascii="Times New Roman" w:cs="Times New Roman" w:eastAsia="Times New Roman" w:hAnsi="Times New Roman"/>
          <w:b/>
          <w:bCs/>
          <w:caps/>
          <w:sz w:val="22"/>
          <w:szCs w:val="22"/>
        </w:rPr>
        <w:t xml:space="preserve">REFERENCES</w:t>
      </w:r>
    </w:p>
    <w:p>
      <w:pPr>
        <w:spacing w:after="40" w:before="60"/>
        <w:ind/>
        <w:jc w:val="both"/>
      </w:pPr>
      <w:r>
        <w:rPr>
          <w:rFonts w:ascii="Times New Roman" w:cs="Times New Roman" w:eastAsia="Times New Roman" w:hAnsi="Times New Roman"/>
          <w:sz w:val="20"/>
          <w:szCs w:val="20"/>
        </w:rPr>
        <w:t xml:space="preserve">ACI 207R (2007). Report on Thermal and Volume Change Effects on Cracking of Mass Concrete. American Concrete Institute, Farmington Hills, MI.</w:t>
      </w:r>
    </w:p>
    <w:p>
      <w:pPr>
        <w:spacing w:after="40" w:before="40"/>
        <w:ind/>
        <w:jc w:val="both"/>
      </w:pPr>
      <w:r>
        <w:rPr>
          <w:rFonts w:ascii="Times New Roman" w:cs="Times New Roman" w:eastAsia="Times New Roman" w:hAnsi="Times New Roman"/>
          <w:sz w:val="20"/>
          <w:szCs w:val="20"/>
        </w:rPr>
        <w:t xml:space="preserve">Bullard, J.W. et al. (2011). Mechanisms of cement hydration. Cement and Concrete Research, 41(12), 1208–1223.</w:t>
      </w:r>
    </w:p>
    <w:p>
      <w:pPr>
        <w:spacing w:after="40" w:before="40"/>
        <w:ind/>
        <w:jc w:val="both"/>
      </w:pPr>
      <w:r>
        <w:rPr>
          <w:rFonts w:ascii="Times New Roman" w:cs="Times New Roman" w:eastAsia="Times New Roman" w:hAnsi="Times New Roman"/>
          <w:sz w:val="20"/>
          <w:szCs w:val="20"/>
        </w:rPr>
        <w:t xml:space="preserve">De Schutter, G. and Taerwe, L. (1995). Specific heat and thermal diffusivity of hardening concrete. Magazine of Concrete Research, 47(172), 203–208.</w:t>
      </w:r>
    </w:p>
    <w:p>
      <w:pPr>
        <w:spacing w:after="40" w:before="40"/>
        <w:ind/>
        <w:jc w:val="both"/>
      </w:pPr>
      <w:r>
        <w:rPr>
          <w:rFonts w:ascii="Times New Roman" w:cs="Times New Roman" w:eastAsia="Times New Roman" w:hAnsi="Times New Roman"/>
          <w:sz w:val="20"/>
          <w:szCs w:val="20"/>
        </w:rPr>
        <w:t xml:space="preserve">Ferraro, C.C. et al. (2018). Advanced analysis, validation and optimization of virtual cement and concrete testing. Final Report, University of Florida.</w:t>
      </w:r>
    </w:p>
    <w:p>
      <w:pPr>
        <w:spacing w:after="40" w:before="40"/>
        <w:ind/>
        <w:jc w:val="both"/>
      </w:pPr>
      <w:r>
        <w:rPr>
          <w:rFonts w:ascii="Times New Roman" w:cs="Times New Roman" w:eastAsia="Times New Roman" w:hAnsi="Times New Roman"/>
          <w:sz w:val="20"/>
          <w:szCs w:val="20"/>
        </w:rPr>
        <w:t xml:space="preserve">Klemczak, B. and Batog, M. (2016). Heat of hydration of low-clinker cements. Part I. Journal of Thermal Analysis and Calorimetry, 123(1), 1351–1360.</w:t>
      </w:r>
    </w:p>
    <w:p>
      <w:pPr>
        <w:spacing w:after="40" w:before="40"/>
        <w:ind/>
        <w:jc w:val="both"/>
      </w:pPr>
      <w:r>
        <w:rPr>
          <w:rFonts w:ascii="Times New Roman" w:cs="Times New Roman" w:eastAsia="Times New Roman" w:hAnsi="Times New Roman"/>
          <w:sz w:val="20"/>
          <w:szCs w:val="20"/>
        </w:rPr>
        <w:t xml:space="preserve">Lothenbach, B., Scrivener, K. and Hooton, R.D. (2011). Supplementary cementitious materials. Cement and Concrete Research, 41(12), 1244–1256.</w:t>
      </w:r>
    </w:p>
    <w:p>
      <w:pPr>
        <w:spacing w:after="40" w:before="40"/>
        <w:ind/>
        <w:jc w:val="both"/>
      </w:pPr>
      <w:r>
        <w:rPr>
          <w:rFonts w:ascii="Times New Roman" w:cs="Times New Roman" w:eastAsia="Times New Roman" w:hAnsi="Times New Roman"/>
          <w:sz w:val="20"/>
          <w:szCs w:val="20"/>
        </w:rPr>
        <w:t xml:space="preserve">Rastogi, H., Moharana, S. and Subhash, S. (2024). Prediction of hydration properties using VCCTL. Discover Civil Engineering, 1, Article 152.</w:t>
      </w:r>
    </w:p>
    <w:p>
      <w:pPr>
        <w:spacing w:after="40" w:before="40"/>
        <w:ind/>
        <w:jc w:val="both"/>
      </w:pPr>
      <w:r>
        <w:rPr>
          <w:rFonts w:ascii="Times New Roman" w:cs="Times New Roman" w:eastAsia="Times New Roman" w:hAnsi="Times New Roman"/>
          <w:sz w:val="20"/>
          <w:szCs w:val="20"/>
        </w:rPr>
        <w:t xml:space="preserve">RILEM TC 119-TCE (1997). Adiabatic and semi-adiabatic calorimetry to determine temperature increase in concrete. Materials and Structures, 30(8), 451–464.</w:t>
      </w:r>
    </w:p>
    <w:p>
      <w:pPr>
        <w:spacing w:after="40" w:before="40"/>
        <w:ind/>
        <w:jc w:val="both"/>
      </w:pPr>
      <w:r>
        <w:rPr>
          <w:rFonts w:ascii="Times New Roman" w:cs="Times New Roman" w:eastAsia="Times New Roman" w:hAnsi="Times New Roman"/>
          <w:sz w:val="20"/>
          <w:szCs w:val="20"/>
        </w:rPr>
        <w:t xml:space="preserve">Scrivener, K.L., Juilland, P. and Monteiro, P.J.M. (2015). Advances in understanding hydration of Portland cement. Cement and Concrete Research, 78, 38–56.</w:t>
      </w:r>
    </w:p>
    <w:p>
      <w:pPr>
        <w:spacing w:after="80" w:before="40"/>
        <w:ind/>
        <w:jc w:val="both"/>
      </w:pPr>
      <w:r>
        <w:rPr>
          <w:rFonts w:ascii="Times New Roman" w:cs="Times New Roman" w:eastAsia="Times New Roman" w:hAnsi="Times New Roman"/>
          <w:sz w:val="20"/>
          <w:szCs w:val="20"/>
        </w:rPr>
        <w:t xml:space="preserve">Taylor, H.F.W. (1997). Cement Chemistry (2nd ed.). Thomas Telford Publishing, London.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ICCE 2026 | Department of Civil Engineering, BUET | Dhaka, Bangladesh | 17–19 December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2026-06-11T19:20:46.270Z</dcterms:created>
  <dcterms:modified xsi:type="dcterms:W3CDTF">2026-06-11T19:20:46.270Z</dcterms:modified>
</cp:coreProperties>
</file>

<file path=docProps/custom.xml><?xml version="1.0" encoding="utf-8"?>
<Properties xmlns="http://schemas.openxmlformats.org/officeDocument/2006/custom-properties" xmlns:vt="http://schemas.openxmlformats.org/officeDocument/2006/docPropsVTypes"/>
</file>