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  <w:lang w:val="en-US"/>
        </w:rPr>
        <w:t>Register this as a new application</w:t>
      </w:r>
    </w:p>
    <w:p>
      <w:pPr>
        <w:numPr>
          <w:ilvl w:val="0"/>
          <w:numId w:val="1"/>
        </w:numPr>
        <w:ind w:left="420" w:leftChars="0" w:hanging="420" w:firstLineChars="0"/>
      </w:pPr>
      <w:r>
        <w:drawing>
          <wp:inline distT="0" distB="0" distL="114300" distR="114300">
            <wp:extent cx="5269230" cy="27432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  <w:lang w:val="en-US"/>
        </w:rPr>
        <w:t>Follow this https://docs.microsoft.com/en-us/azure/active-directory/develop/quickstart-v2-aspnet-webapp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B496D9"/>
    <w:multiLevelType w:val="singleLevel"/>
    <w:tmpl w:val="8EB496D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D3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2021-01-12T01:42:30Z</dcterms:created>
  <dc:creator>tusha</dc:creator>
  <cp:lastModifiedBy>tusha</cp:lastModifiedBy>
  <dcterms:modified xsi:type="dcterms:W3CDTF">2021-01-12T01:48:13Z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