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Hospital Readmissions Analysis</w:t>
      </w:r>
    </w:p>
    <w:p>
      <w:pPr>
        <w:spacing w:after="200"/>
      </w:pPr>
      <w:r>
        <w:rPr>
          <w:i/>
          <w:iCs/>
          <w:sz w:val="20"/>
          <w:szCs w:val="20"/>
        </w:rPr>
        <w:t xml:space="preserve">An interactive SQL and Power BI project analyzing hospital patient encounter data to uncover the key drivers behind 30-day readmissions.</w:t>
      </w:r>
    </w:p>
    <w:p>
      <w:pPr>
        <w:pStyle w:val="Heading2"/>
        <w:spacing w:after="120" w:before="240"/>
      </w:pPr>
      <w:r>
        <w:t xml:space="preserve">Business Problem</w:t>
      </w:r>
    </w:p>
    <w:p>
      <w:pPr>
        <w:spacing w:after="160"/>
      </w:pPr>
      <w:r>
        <w:rPr>
          <w:sz w:val="22"/>
          <w:szCs w:val="22"/>
        </w:rPr>
        <w:t xml:space="preserve">Hospital readmissions are costly, both financially and in terms of patient outcomes, and are widely used as an indicator of care quality. This project takes on the role of a data analyst supporting a hospital administration team trying to understand which patients are most likely to be readmitted and why, with the goal of informing better discharge planning, medication management, and follow-up care.</w:t>
      </w:r>
    </w:p>
    <w:p>
      <w:pPr>
        <w:pStyle w:val="Heading2"/>
        <w:spacing w:after="120" w:before="240"/>
      </w:pPr>
      <w:r>
        <w:t xml:space="preserve">Summary</w:t>
      </w:r>
    </w:p>
    <w:p>
      <w:pPr>
        <w:spacing w:after="160"/>
      </w:pPr>
      <w:r>
        <w:rPr>
          <w:sz w:val="22"/>
          <w:szCs w:val="22"/>
        </w:rPr>
        <w:t xml:space="preserve">The dataset covers patient-level hospital encounters, including demographics, clinical details, medication records across 23 tracked drug categories, prior healthcare utilization, and readmission status. Data was cleaned and queried in MySQL, then visualized in a two-page interactive Power BI dashboard to explore readmission patterns across age, comorbidity, medication, and utilization.</w:t>
      </w:r>
    </w:p>
    <w:p>
      <w:pPr>
        <w:pStyle w:val="Heading2"/>
        <w:spacing w:after="120" w:before="240"/>
      </w:pPr>
      <w:r>
        <w:t xml:space="preserve">Key Insights</w:t>
      </w:r>
    </w:p>
    <w:p>
      <w:pPr>
        <w:pStyle w:val="ListParagraph"/>
        <w:numPr>
          <w:ilvl w:val="0"/>
          <w:numId w:val="1"/>
        </w:numPr>
        <w:spacing w:after="100"/>
      </w:pPr>
      <w:r>
        <w:rPr>
          <w:b/>
          <w:bCs/>
          <w:sz w:val="22"/>
          <w:szCs w:val="22"/>
        </w:rPr>
        <w:t xml:space="preserve">Age is a strong risk factor. </w:t>
      </w:r>
      <w:r>
        <w:rPr>
          <w:sz w:val="22"/>
          <w:szCs w:val="22"/>
        </w:rPr>
        <w:t xml:space="preserve">Readmission rate climbs steadily from the youngest patients up to a clear peak in the 70 to 80 age range.</w:t>
      </w:r>
    </w:p>
    <w:p>
      <w:pPr>
        <w:pStyle w:val="ListParagraph"/>
        <w:numPr>
          <w:ilvl w:val="0"/>
          <w:numId w:val="1"/>
        </w:numPr>
        <w:spacing w:after="100"/>
      </w:pPr>
      <w:r>
        <w:rPr>
          <w:b/>
          <w:bCs/>
          <w:sz w:val="22"/>
          <w:szCs w:val="22"/>
        </w:rPr>
        <w:t xml:space="preserve">Comorbidity is the strongest driver identified. </w:t>
      </w:r>
      <w:r>
        <w:rPr>
          <w:sz w:val="22"/>
          <w:szCs w:val="22"/>
        </w:rPr>
        <w:t xml:space="preserve">Patients with more diagnoses show both longer hospital stays and markedly higher readmission rates.</w:t>
      </w:r>
    </w:p>
    <w:p>
      <w:pPr>
        <w:pStyle w:val="ListParagraph"/>
        <w:numPr>
          <w:ilvl w:val="0"/>
          <w:numId w:val="1"/>
        </w:numPr>
        <w:spacing w:after="100"/>
      </w:pPr>
      <w:r>
        <w:rPr>
          <w:b/>
          <w:bCs/>
          <w:sz w:val="22"/>
          <w:szCs w:val="22"/>
        </w:rPr>
        <w:t xml:space="preserve">Medication changes signal risk, not resolution. </w:t>
      </w:r>
      <w:r>
        <w:rPr>
          <w:sz w:val="22"/>
          <w:szCs w:val="22"/>
        </w:rPr>
        <w:t xml:space="preserve">Diabetic patients whose medication was changed during their stay were readmitted at a higher rate than those with no change.</w:t>
      </w:r>
    </w:p>
    <w:p>
      <w:pPr>
        <w:pStyle w:val="ListParagraph"/>
        <w:numPr>
          <w:ilvl w:val="0"/>
          <w:numId w:val="1"/>
        </w:numPr>
        <w:spacing w:after="100"/>
      </w:pPr>
      <w:r>
        <w:rPr>
          <w:b/>
          <w:bCs/>
          <w:sz w:val="22"/>
          <w:szCs w:val="22"/>
        </w:rPr>
        <w:t xml:space="preserve">Prior inpatient history is highly predictive. </w:t>
      </w:r>
      <w:r>
        <w:rPr>
          <w:sz w:val="22"/>
          <w:szCs w:val="22"/>
        </w:rPr>
        <w:t xml:space="preserve">Readmission rate rises sharply as prior inpatient visit count increases.</w:t>
      </w:r>
    </w:p>
    <w:p>
      <w:pPr>
        <w:pStyle w:val="ListParagraph"/>
        <w:numPr>
          <w:ilvl w:val="0"/>
          <w:numId w:val="1"/>
        </w:numPr>
        <w:spacing w:after="100"/>
      </w:pPr>
      <w:r>
        <w:rPr>
          <w:b/>
          <w:bCs/>
          <w:sz w:val="22"/>
          <w:szCs w:val="22"/>
        </w:rPr>
        <w:t xml:space="preserve">Medication prescribing is concentrated. </w:t>
      </w:r>
      <w:r>
        <w:rPr>
          <w:sz w:val="22"/>
          <w:szCs w:val="22"/>
        </w:rPr>
        <w:t xml:space="preserve">One drug accounts for the large majority of all recorded dosage changes across 23 tracked medications.</w:t>
      </w:r>
    </w:p>
    <w:p>
      <w:pPr>
        <w:pStyle w:val="ListParagraph"/>
        <w:numPr>
          <w:ilvl w:val="0"/>
          <w:numId w:val="1"/>
        </w:numPr>
        <w:spacing w:after="100"/>
      </w:pPr>
      <w:r>
        <w:rPr>
          <w:b/>
          <w:bCs/>
          <w:sz w:val="22"/>
          <w:szCs w:val="22"/>
        </w:rPr>
        <w:t xml:space="preserve">Length of stay varies by specialty. </w:t>
      </w:r>
      <w:r>
        <w:rPr>
          <w:sz w:val="22"/>
          <w:szCs w:val="22"/>
        </w:rPr>
        <w:t xml:space="preserve">Some specialties average under two days per stay, others close to ten.</w:t>
      </w:r>
    </w:p>
    <w:p>
      <w:pPr>
        <w:pStyle w:val="Heading2"/>
        <w:spacing w:after="120" w:before="240"/>
      </w:pPr>
      <w:r>
        <w:t xml:space="preserve">Business Impact</w:t>
      </w:r>
    </w:p>
    <w:p>
      <w:pPr>
        <w:spacing w:after="160"/>
      </w:pPr>
      <w:r>
        <w:rPr>
          <w:sz w:val="22"/>
          <w:szCs w:val="22"/>
        </w:rPr>
        <w:t xml:space="preserve">These patterns translate directly into operational opportunities. Prioritizing discharge planning for high-comorbidity patients targets the single strongest predictor of readmission in the data. Structured post-discharge follow-up for diabetic patients with a recent medication change addresses a clearly elevated risk group. Flagging patients with frequent prior admissions for proactive case management targets the sharpest risk escalation observed. Reviewing prescribing consistency around the small number of medications responsible for most dosage changes could also help standardize care and reduce avoidable readmissions, supporting both patient outcomes and cost control.</w:t>
      </w:r>
    </w:p>
    <w:p>
      <w:pPr>
        <w:pStyle w:val="Heading2"/>
        <w:spacing w:after="120" w:before="240"/>
      </w:pPr>
      <w:r>
        <w:t xml:space="preserve">Conclusion</w:t>
      </w:r>
    </w:p>
    <w:p>
      <w:pPr>
        <w:spacing w:after="160"/>
      </w:pPr>
      <w:r>
        <w:rPr>
          <w:sz w:val="22"/>
          <w:szCs w:val="22"/>
        </w:rPr>
        <w:t xml:space="preserve">Comorbidity, prior inpatient visit history, and diabetic medication changes stand out as the clearest predictors of readmission risk in this dataset, with age adding a demographic layer on top of these clinical signals. Together, these findings offer hospital administration a practical, data-backed starting point for reducing readmissions through targeted discharge planning and follow-up care.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2026-08-19T11:20:33.208Z</dcterms:created>
  <dcterms:modified xsi:type="dcterms:W3CDTF">2026-08-19T11:20:33.222Z</dcterms:modified>
</cp:coreProperties>
</file>

<file path=docProps/custom.xml><?xml version="1.0" encoding="utf-8"?>
<Properties xmlns="http://schemas.openxmlformats.org/officeDocument/2006/custom-properties" xmlns:vt="http://schemas.openxmlformats.org/officeDocument/2006/docPropsVTypes"/>
</file>