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15278"/>
        </w:rPr>
        <w:t>CENTRAL PUBLIC WORKS DEPARTMENT (CPWD)</w:t>
      </w:r>
    </w:p>
    <w:p>
      <w:r>
        <w:t>NIT Reference: CPWD/EE/ELECT/2026/048</w:t>
        <w:br/>
        <w:t>Date of Issue: 15-September-2026</w:t>
      </w:r>
    </w:p>
    <w:p>
      <w:r>
        <w:t>NOTICE INVITING TENDER FOR INTERNAL ELECTRIFICATION WORKS AT NEW SECRETARIAT COMPLEX</w:t>
      </w:r>
    </w:p>
    <w:p>
      <w:pPr>
        <w:pStyle w:val="Heading1"/>
      </w:pPr>
      <w:r>
        <w:t>Section I: Eligibility &amp; General Conditions</w:t>
      </w:r>
    </w:p>
    <w:p>
      <w:r>
        <w:t>1.1 The bidder must be an authorized class-1 electrical contractor registered with CPWD or State PWD.</w:t>
        <w:br/>
        <w:t>1.2 Earnest Money Deposit: INR 2,50,000 to be deposited via electronic RTGS/NEFT.</w:t>
        <w:br/>
        <w:t>1.3 Bids shall remain valid for 90 days from the date of technical bid opening.</w:t>
      </w:r>
    </w:p>
    <w:p>
      <w:pPr>
        <w:pStyle w:val="Heading1"/>
      </w:pPr>
      <w:r>
        <w:t>Section IV: Technical Specifications and Schedule of Requirements</w:t>
      </w:r>
    </w:p>
    <w:p>
      <w:r>
        <w:t>4.1 Wiring Cables: Supply and laying of 1100V working voltage grade PVC insulated single-core and multi-core flexible copper conductor building wires with Flame Retardant Low Smoke (FRLS) insulation. Conductor purity must conform to electrolytic tough pitch copper.</w:t>
        <w:br/>
        <w:t>4.2 Distribution Switchgear: Miniature Circuit Breakers (MCB) of breaking capacity 10 kA, C-curve characteristics, for 16A and 32A lighting and power circuits. Sub-main boards must include 30mA residual current protection for shock prevention.</w:t>
        <w:br/>
        <w:t>4.3 Conduit System: Rigid plain non-metallic PVC conduits of heavy mechanical stress class for concealed wall and ceiling wiring.</w:t>
        <w:br/>
        <w:t>4.4 Plugs &amp; Sockets: 6A and 16A modular 3-pin shuttered socket-outlets with copper alloy contacts.</w:t>
      </w:r>
    </w:p>
    <w:p>
      <w:pPr>
        <w:pStyle w:val="Heading1"/>
      </w:pPr>
      <w:r>
        <w:t>Section V: Commercial Terms and Payment Conditions</w:t>
      </w:r>
    </w:p>
    <w:p>
      <w:r>
        <w:t>5.1 Payment terms: 80% against delivery and physical verification, 20% on successful installation.</w:t>
        <w:br/>
        <w:t>5.2 Liquidated damages shall be applicable at 0.5% per week of delay up to a maximum of 10%.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