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36F805F4" w14:textId="16BC9D5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7DED9FDB" w14:textId="5CECD3CB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D3ED559" w14:textId="0485EDA3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A86A7A3" w14:textId="20FA465B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5B0F6D14" w14:textId="7E669652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grade to price loans and manage risk. Higher-grade loans typically receive lower interest rates and are more attractive to investors</w:t>
      </w:r>
      <w:r w:rsidR="00595B6F">
        <w:rPr>
          <w:rFonts w:cstheme="minorHAnsi"/>
          <w:sz w:val="24"/>
          <w:szCs w:val="24"/>
        </w:rPr>
        <w:t>.</w:t>
      </w:r>
    </w:p>
    <w:p w14:paraId="1A31850F" w14:textId="77777777" w:rsidR="00595B6F" w:rsidRDefault="00595B6F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51DAFEF" w14:textId="77777777" w:rsidR="00595B6F" w:rsidRPr="00034003" w:rsidRDefault="00595B6F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4D42B5F" w14:textId="5EF318A6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3500DDAE" w14:textId="2F057451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055BF974" w14:textId="7F4C235C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2E5BEA62" w14:textId="26F57BC1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assess payment behavior,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4118759" w14:textId="77777777" w:rsidR="00595B6F" w:rsidRPr="00034003" w:rsidRDefault="00595B6F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366577FD" w14:textId="6F823553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11C69EC1" w14:textId="7144A2BE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142C3CFE" w14:textId="71243AF2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6FE0F5E0" w14:textId="15F653B9" w:rsidR="001C55F5" w:rsidRPr="00595B6F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4E70C0EF" w14:textId="25F692C9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income figure to determine loan eligibility, calculate debt-to-income ratios, and evaluate creditworthiness.</w:t>
      </w: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EBABD97" w14:textId="77777777" w:rsidR="00595B6F" w:rsidRDefault="00595B6F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9E71103" w14:textId="77777777" w:rsidR="00595B6F" w:rsidRPr="00034003" w:rsidRDefault="00595B6F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090A3926" w14:textId="7084790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20DEE5E2" w14:textId="2523F2B0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E765" w14:textId="77777777" w:rsidR="000A6D8A" w:rsidRDefault="000A6D8A" w:rsidP="00A83F2B">
      <w:pPr>
        <w:spacing w:after="0" w:line="240" w:lineRule="auto"/>
      </w:pPr>
      <w:r>
        <w:separator/>
      </w:r>
    </w:p>
  </w:endnote>
  <w:endnote w:type="continuationSeparator" w:id="0">
    <w:p w14:paraId="4448041A" w14:textId="77777777" w:rsidR="000A6D8A" w:rsidRDefault="000A6D8A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574A" w14:textId="77777777" w:rsidR="000A6D8A" w:rsidRDefault="000A6D8A" w:rsidP="00A83F2B">
      <w:pPr>
        <w:spacing w:after="0" w:line="240" w:lineRule="auto"/>
      </w:pPr>
      <w:r>
        <w:separator/>
      </w:r>
    </w:p>
  </w:footnote>
  <w:footnote w:type="continuationSeparator" w:id="0">
    <w:p w14:paraId="2FAE95AA" w14:textId="77777777" w:rsidR="000A6D8A" w:rsidRDefault="000A6D8A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EC7A" w14:textId="5477E243" w:rsidR="00171C24" w:rsidRPr="002D58AA" w:rsidRDefault="00000000" w:rsidP="00034003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  <w:p w14:paraId="0B4DFE75" w14:textId="77777777" w:rsidR="00171C24" w:rsidRDefault="00171C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0A6D8A"/>
    <w:rsid w:val="00171C24"/>
    <w:rsid w:val="001C55F5"/>
    <w:rsid w:val="00394046"/>
    <w:rsid w:val="00595B6F"/>
    <w:rsid w:val="007876AD"/>
    <w:rsid w:val="00820FF8"/>
    <w:rsid w:val="00A83F2B"/>
    <w:rsid w:val="00B90E3A"/>
    <w:rsid w:val="00B91E15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Borkar</dc:creator>
  <cp:keywords/>
  <dc:description/>
  <cp:lastModifiedBy>Tushar Borkar</cp:lastModifiedBy>
  <cp:revision>3</cp:revision>
  <dcterms:created xsi:type="dcterms:W3CDTF">2025-12-30T13:58:00Z</dcterms:created>
  <dcterms:modified xsi:type="dcterms:W3CDTF">2026-02-03T10:56:00Z</dcterms:modified>
</cp:coreProperties>
</file>