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aps/>
          <w:color w:val="1A2B4A"/>
          <w:sz w:val="30"/>
          <w:szCs w:val="30"/>
        </w:rPr>
        <w:t xml:space="preserve">PULSE</w:t>
      </w:r>
    </w:p>
    <w:p>
      <w:pPr>
        <w:spacing w:after="40"/>
      </w:pPr>
      <w:r>
        <w:rPr>
          <w:rFonts w:ascii="Arial" w:cs="Arial" w:eastAsia="Arial" w:hAnsi="Arial"/>
          <w:b/>
          <w:bCs/>
          <w:color w:val="1A2B4A"/>
          <w:sz w:val="40"/>
          <w:szCs w:val="40"/>
        </w:rPr>
        <w:t xml:space="preserve">Metric Status Review — Post-Revision</w:t>
      </w:r>
    </w:p>
    <w:p>
      <w:pPr>
        <w:pBdr>
          <w:bottom w:val="single" w:color="2E5C8A" w:sz="12" w:space="4"/>
        </w:pBdr>
        <w:spacing w:after="200"/>
      </w:pPr>
      <w:r>
        <w:rPr>
          <w:rFonts w:ascii="Arial" w:cs="Arial" w:eastAsia="Arial" w:hAnsi="Arial"/>
          <w:i/>
          <w:iCs/>
          <w:color w:val="2E5C8A"/>
          <w:sz w:val="21"/>
          <w:szCs w:val="21"/>
        </w:rPr>
        <w:t xml:space="preserve">What each metric calculates, the discrepancies we fixed, how we fixed them, how accurate we feel they are now, and what still needs work</w:t>
      </w:r>
    </w:p>
    <w:p>
      <w:pPr>
        <w:spacing w:after="110" w:line="274"/>
      </w:pPr>
      <w:r>
        <w:rPr>
          <w:rFonts w:ascii="Arial" w:cs="Arial" w:eastAsia="Arial" w:hAnsi="Arial"/>
          <w:color w:val="333333"/>
          <w:sz w:val="21"/>
          <w:szCs w:val="21"/>
        </w:rPr>
        <w:t xml:space="preserve">This review covers all fifteen metrics after the revisions. For each metric it states, in order: what the metric calculates, the discrepancies we accounted for, how we accounted for them, how accurate we feel it is now, and what still requires attention. A short closing section covers the two cross-cutting fixes and the overall posture of the revision.</w:t>
      </w:r>
    </w:p>
    <w:p>
      <w:pPr>
        <w:spacing w:after="40" w:before="60"/>
      </w:pPr>
      <w:r>
        <w:rPr>
          <w:rFonts w:ascii="Arial" w:cs="Arial" w:eastAsia="Arial" w:hAnsi="Arial"/>
          <w:b/>
          <w:bCs/>
          <w:color w:val="1A2B4A"/>
          <w:sz w:val="22"/>
          <w:szCs w:val="22"/>
        </w:rPr>
        <w:t xml:space="preserve">How to read the accuracy verdicts</w:t>
      </w:r>
    </w:p>
    <w:p>
      <w:pPr>
        <w:spacing w:after="60" w:line="270"/>
      </w:pPr>
      <w:r>
        <w:rPr>
          <w:rFonts w:ascii="Arial" w:cs="Arial" w:eastAsia="Arial" w:hAnsi="Arial"/>
          <w:b/>
          <w:bCs/>
          <w:color w:val="2E6B4F"/>
          <w:sz w:val="21"/>
          <w:szCs w:val="21"/>
        </w:rPr>
        <w:t xml:space="preserve">Green</w:t>
      </w:r>
      <w:r>
        <w:rPr>
          <w:rFonts w:ascii="Arial" w:cs="Arial" w:eastAsia="Arial" w:hAnsi="Arial"/>
          <w:sz w:val="21"/>
          <w:szCs w:val="21"/>
        </w:rPr>
        <w:t xml:space="preserve"> = confident now (often after one small fix).   </w:t>
      </w:r>
      <w:r>
        <w:rPr>
          <w:rFonts w:ascii="Arial" w:cs="Arial" w:eastAsia="Arial" w:hAnsi="Arial"/>
          <w:b/>
          <w:bCs/>
          <w:color w:val="9A6A1F"/>
          <w:sz w:val="21"/>
          <w:szCs w:val="21"/>
        </w:rPr>
        <w:t xml:space="preserve">Amber</w:t>
      </w:r>
      <w:r>
        <w:rPr>
          <w:rFonts w:ascii="Arial" w:cs="Arial" w:eastAsia="Arial" w:hAnsi="Arial"/>
          <w:sz w:val="21"/>
          <w:szCs w:val="21"/>
        </w:rPr>
        <w:t xml:space="preserve"> = improved and usable, but real-data tuning still needed.   </w:t>
      </w:r>
      <w:r>
        <w:rPr>
          <w:rFonts w:ascii="Arial" w:cs="Arial" w:eastAsia="Arial" w:hAnsi="Arial"/>
          <w:b/>
          <w:bCs/>
          <w:color w:val="B23A3A"/>
          <w:sz w:val="21"/>
          <w:szCs w:val="21"/>
        </w:rPr>
        <w:t xml:space="preserve">Red</w:t>
      </w:r>
      <w:r>
        <w:rPr>
          <w:rFonts w:ascii="Arial" w:cs="Arial" w:eastAsia="Arial" w:hAnsi="Arial"/>
          <w:sz w:val="21"/>
          <w:szCs w:val="21"/>
        </w:rPr>
        <w:t xml:space="preserve"> = set aside for now; accuracy is inherited from a foundation metric or from data we do not yet have.</w:t>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M-01</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Projected Cash Gap Date &amp; Amount</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The exact date within the next 90 days the bank balance is projected to fall below a safe floor, and by how much. It runs a day-by-day balance loop: each day's balance equals the previous day's balance plus inflows minus outflows.</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loop is exact arithmetic but produced a single point estimate dressed up as certain, while every input feeding it (projected revenue, invoice timing, recurring costs) is itself an estimate.</w:t>
      </w:r>
    </w:p>
    <w:p>
      <w:pPr>
        <w:pStyle w:val="ListParagraph"/>
        <w:numPr>
          <w:ilvl w:val="0"/>
          <w:numId w:val="2"/>
        </w:numPr>
        <w:spacing w:after="70" w:line="270"/>
      </w:pPr>
      <w:r>
        <w:rPr>
          <w:rFonts w:ascii="Arial" w:cs="Arial" w:eastAsia="Arial" w:hAnsi="Arial"/>
          <w:sz w:val="21"/>
          <w:szCs w:val="21"/>
        </w:rPr>
        <w:t xml:space="preserve">Irregular but real outflows — annual insurance, quarterly tax instalments, one-off equipment buys — were not in the recurring-cost set, so they were silently missing from the forecast.</w:t>
      </w:r>
    </w:p>
    <w:p>
      <w:pPr>
        <w:pStyle w:val="ListParagraph"/>
        <w:numPr>
          <w:ilvl w:val="0"/>
          <w:numId w:val="2"/>
        </w:numPr>
        <w:spacing w:after="70" w:line="270"/>
      </w:pPr>
      <w:r>
        <w:rPr>
          <w:rFonts w:ascii="Arial" w:cs="Arial" w:eastAsia="Arial" w:hAnsi="Arial"/>
          <w:sz w:val="21"/>
          <w:szCs w:val="21"/>
        </w:rPr>
        <w:t xml:space="preserve">The text referenced 'confidence intervals on the final balance' that were never actually built.</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kept the exact daily recurrence as the engine but now run it 1,000 times with the uncertain inputs varied (revenue +/-15%, payment timing drawn from the client delay model, cost noise +/-10%).</w:t>
      </w:r>
    </w:p>
    <w:p>
      <w:pPr>
        <w:pStyle w:val="ListParagraph"/>
        <w:numPr>
          <w:ilvl w:val="0"/>
          <w:numId w:val="2"/>
        </w:numPr>
        <w:spacing w:after="70" w:line="270"/>
      </w:pPr>
      <w:r>
        <w:rPr>
          <w:rFonts w:ascii="Arial" w:cs="Arial" w:eastAsia="Arial" w:hAnsi="Arial"/>
          <w:sz w:val="21"/>
          <w:szCs w:val="21"/>
        </w:rPr>
        <w:t xml:space="preserve">The output changed from one number to a probability and a band: 'X% chance of breaching the floor between day A and day B,' with a 10th-to-90th-percentile range on the gap amount.</w:t>
      </w:r>
    </w:p>
    <w:p>
      <w:pPr>
        <w:pStyle w:val="ListParagraph"/>
        <w:numPr>
          <w:ilvl w:val="0"/>
          <w:numId w:val="2"/>
        </w:numPr>
        <w:spacing w:after="70" w:line="270"/>
      </w:pPr>
      <w:r>
        <w:rPr>
          <w:rFonts w:ascii="Arial" w:cs="Arial" w:eastAsia="Arial" w:hAnsi="Arial"/>
          <w:sz w:val="21"/>
          <w:szCs w:val="21"/>
        </w:rPr>
        <w:t xml:space="preserve">We added an unmodelled-outflow scan that searches 12+ months of history for irregular large debits and lists what the forecast is NOT capturing instead of dropping them.</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6B"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1F6F6B"/>
                <w:sz w:val="18"/>
                <w:szCs w:val="18"/>
              </w:rPr>
              <w:t xml:space="preserve">HOW ACCURATE WE FEEL IT IS  —  </w:t>
            </w:r>
            <w:r>
              <w:rPr>
                <w:rFonts w:ascii="Arial" w:cs="Arial" w:eastAsia="Arial" w:hAnsi="Arial"/>
                <w:b/>
                <w:bCs/>
                <w:color w:val="1F6F6B"/>
                <w:sz w:val="18"/>
                <w:szCs w:val="18"/>
              </w:rPr>
              <w:t xml:space="preserve">MODEL — exact engine, estimated inputs</w:t>
            </w:r>
          </w:p>
          <w:p>
            <w:pPr>
              <w:spacing w:line="274"/>
            </w:pPr>
            <w:r>
              <w:rPr>
                <w:rFonts w:ascii="Arial" w:cs="Arial" w:eastAsia="Arial" w:hAnsi="Arial"/>
                <w:color w:val="2B2B2B"/>
                <w:sz w:val="21"/>
                <w:szCs w:val="21"/>
              </w:rPr>
              <w:t xml:space="preserve">The arithmetic is exact and trustworthy. The output is now honest about its own uncertainty, which is a genuine improvement, but its real-world accuracy is capped by the seasonal revenue model (M-10) that feeds it. Inside a 7-to-14-day horizon it is highly accurate; beyond 30 days it inherits M-10's noise. We are confident in the mechanism, cautiously confident in the near-term number, and explicitly uncertain in the long-horizon number — which is the correct posture.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width of the band is only as good as the input distributions we assume (the +/-15% revenue, the delay model). Those assumptions need calibration against real businesses.</w:t>
      </w:r>
    </w:p>
    <w:p>
      <w:pPr>
        <w:pStyle w:val="ListParagraph"/>
        <w:numPr>
          <w:ilvl w:val="0"/>
          <w:numId w:val="2"/>
        </w:numPr>
        <w:spacing w:after="70" w:line="270"/>
      </w:pPr>
      <w:r>
        <w:rPr>
          <w:rFonts w:ascii="Arial" w:cs="Arial" w:eastAsia="Arial" w:hAnsi="Arial"/>
          <w:sz w:val="21"/>
          <w:szCs w:val="21"/>
        </w:rPr>
        <w:t xml:space="preserve">The unmodelled-outflow scan needs a real detection rule for what counts as 'irregular and large,' tuned on actual transaction histories.</w:t>
      </w:r>
    </w:p>
    <w:p>
      <w:pPr>
        <w:pStyle w:val="ListParagraph"/>
        <w:numPr>
          <w:ilvl w:val="0"/>
          <w:numId w:val="2"/>
        </w:numPr>
        <w:spacing w:after="70" w:line="270"/>
      </w:pPr>
      <w:r>
        <w:rPr>
          <w:rFonts w:ascii="Arial" w:cs="Arial" w:eastAsia="Arial" w:hAnsi="Arial"/>
          <w:sz w:val="21"/>
          <w:szCs w:val="21"/>
        </w:rPr>
        <w:t xml:space="preserve">It cannot be more reliable than M-10, so it is gated on M-10 improving.</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M-02</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Payroll Coverage Ratio</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there will be enough cash on payroll day. It divides the projected balance on the payroll date by the total payroll cash obligation (net pay plus employer CPP and EI).</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ratio is exact division, but the numerator is the M-01 forecast, so it carried all of M-01's uncertainty while being compared against fixed threshold lines as if it were certain.</w:t>
      </w:r>
    </w:p>
    <w:p>
      <w:pPr>
        <w:pStyle w:val="ListParagraph"/>
        <w:numPr>
          <w:ilvl w:val="0"/>
          <w:numId w:val="2"/>
        </w:numPr>
        <w:spacing w:after="70" w:line="270"/>
      </w:pPr>
      <w:r>
        <w:rPr>
          <w:rFonts w:ascii="Arial" w:cs="Arial" w:eastAsia="Arial" w:hAnsi="Arial"/>
          <w:sz w:val="21"/>
          <w:szCs w:val="21"/>
        </w:rPr>
        <w:t xml:space="preserve">Variable pay (tips, commissions) was estimated with a flat 8-week average, which understates the obligation in a quiet month right before a seasonally busy payroll.</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now compare the LOWER bound of the projected balance (10th percentile from M-01's simulation) against 1.0, not the middle estimate, so a payroll that is genuinely at risk stops hiding behind a comfortable-looking point estimate.</w:t>
      </w:r>
    </w:p>
    <w:p>
      <w:pPr>
        <w:pStyle w:val="ListParagraph"/>
        <w:numPr>
          <w:ilvl w:val="0"/>
          <w:numId w:val="2"/>
        </w:numPr>
        <w:spacing w:after="70" w:line="270"/>
      </w:pPr>
      <w:r>
        <w:rPr>
          <w:rFonts w:ascii="Arial" w:cs="Arial" w:eastAsia="Arial" w:hAnsi="Arial"/>
          <w:sz w:val="21"/>
          <w:szCs w:val="21"/>
        </w:rPr>
        <w:t xml:space="preserve">Variable pay is now estimated with a seasonally-weighted figure instead of a flat 8-week mean.</w:t>
      </w:r>
    </w:p>
    <w:p>
      <w:pPr>
        <w:pStyle w:val="ListParagraph"/>
        <w:numPr>
          <w:ilvl w:val="0"/>
          <w:numId w:val="2"/>
        </w:numPr>
        <w:spacing w:after="70" w:line="270"/>
      </w:pPr>
      <w:r>
        <w:rPr>
          <w:rFonts w:ascii="Arial" w:cs="Arial" w:eastAsia="Arial" w:hAnsi="Arial"/>
          <w:sz w:val="21"/>
          <w:szCs w:val="21"/>
        </w:rPr>
        <w:t xml:space="preserve">The number carries a confidence tier based on days-to-run: tight inside 7 days, widened beyond 30.</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6B"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1F6F6B"/>
                <w:sz w:val="18"/>
                <w:szCs w:val="18"/>
              </w:rPr>
              <w:t xml:space="preserve">HOW ACCURATE WE FEEL IT IS  —  </w:t>
            </w:r>
            <w:r>
              <w:rPr>
                <w:rFonts w:ascii="Arial" w:cs="Arial" w:eastAsia="Arial" w:hAnsi="Arial"/>
                <w:b/>
                <w:bCs/>
                <w:color w:val="1F6F6B"/>
                <w:sz w:val="18"/>
                <w:szCs w:val="18"/>
              </w:rPr>
              <w:t xml:space="preserve">MODEL — inherits M-01</w:t>
            </w:r>
          </w:p>
          <w:p>
            <w:pPr>
              <w:spacing w:line="274"/>
            </w:pPr>
            <w:r>
              <w:rPr>
                <w:rFonts w:ascii="Arial" w:cs="Arial" w:eastAsia="Arial" w:hAnsi="Arial"/>
                <w:color w:val="2B2B2B"/>
                <w:sz w:val="21"/>
                <w:szCs w:val="21"/>
              </w:rPr>
              <w:t xml:space="preserve">The formula itself is among the most reliable in the system (confirmed payroll data, simple division). Its accuracy tracks M-01's forecast accuracy in the numerator. For payroll runs within a week it is very accurate; further out it is as uncertain as the forecast. The lower-bound comparison makes it appropriately conservative, which is the right direction for a survival metric.</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seasonal weighting for tips/commissions needs real variable-pay data to calibrate.</w:t>
      </w:r>
    </w:p>
    <w:p>
      <w:pPr>
        <w:pStyle w:val="ListParagraph"/>
        <w:numPr>
          <w:ilvl w:val="0"/>
          <w:numId w:val="2"/>
        </w:numPr>
        <w:spacing w:after="70" w:line="270"/>
      </w:pPr>
      <w:r>
        <w:rPr>
          <w:rFonts w:ascii="Arial" w:cs="Arial" w:eastAsia="Arial" w:hAnsi="Arial"/>
          <w:sz w:val="21"/>
          <w:szCs w:val="21"/>
        </w:rPr>
        <w:t xml:space="preserve">Like M-02's dependence on M-01, its long-horizon reliability is gated on the forecast improving.</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M-03</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GST/HST Tax Reserve Gap</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The difference between estimated GST/HST owing for the quarter and what has actually been reserved, plus a weekly savings target to close the gap before the remittance date.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Input Tax Credits were estimated by applying the full GST rate to every categorised business expense, which over-counts: wages, most insurance, interest, and exempt or zero-rated purchases carry no recoverable GST, and meals are only 50% recoverable.</w:t>
      </w:r>
    </w:p>
    <w:p>
      <w:pPr>
        <w:pStyle w:val="ListParagraph"/>
        <w:numPr>
          <w:ilvl w:val="0"/>
          <w:numId w:val="2"/>
        </w:numPr>
        <w:spacing w:after="70" w:line="270"/>
      </w:pPr>
      <w:r>
        <w:rPr>
          <w:rFonts w:ascii="Arial" w:cs="Arial" w:eastAsia="Arial" w:hAnsi="Arial"/>
          <w:sz w:val="21"/>
          <w:szCs w:val="21"/>
        </w:rPr>
        <w:t xml:space="preserve">A single flat provincial rate was applied even for businesses selling across provinces.</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replaced the blanket rate with a per-category eligibility factor: full credit on standard taxable inputs, half on meals/entertainment, zero on wages/insurance/interest/exempt items.</w:t>
      </w:r>
    </w:p>
    <w:p>
      <w:pPr>
        <w:pStyle w:val="ListParagraph"/>
        <w:numPr>
          <w:ilvl w:val="0"/>
          <w:numId w:val="2"/>
        </w:numPr>
        <w:spacing w:after="70" w:line="270"/>
      </w:pPr>
      <w:r>
        <w:rPr>
          <w:rFonts w:ascii="Arial" w:cs="Arial" w:eastAsia="Arial" w:hAnsi="Arial"/>
          <w:sz w:val="21"/>
          <w:szCs w:val="21"/>
        </w:rPr>
        <w:t xml:space="preserve">For multi-province sellers the rate is now keyed to place of supply, not the home province.</w:t>
      </w:r>
    </w:p>
    <w:p>
      <w:pPr>
        <w:pStyle w:val="ListParagraph"/>
        <w:numPr>
          <w:ilvl w:val="0"/>
          <w:numId w:val="2"/>
        </w:numPr>
        <w:spacing w:after="70" w:line="270"/>
      </w:pPr>
      <w:r>
        <w:rPr>
          <w:rFonts w:ascii="Arial" w:cs="Arial" w:eastAsia="Arial" w:hAnsi="Arial"/>
          <w:sz w:val="21"/>
          <w:szCs w:val="21"/>
        </w:rPr>
        <w:t xml:space="preserve">When an expense is LLM-categorised (lower confidence), eligibility defaults to zero until confirmed — which biases the reserve toward reserving more, not less.</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6B"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1F6F6B"/>
                <w:sz w:val="18"/>
                <w:szCs w:val="18"/>
              </w:rPr>
              <w:t xml:space="preserve">HOW ACCURATE WE FEEL IT IS  —  </w:t>
            </w:r>
            <w:r>
              <w:rPr>
                <w:rFonts w:ascii="Arial" w:cs="Arial" w:eastAsia="Arial" w:hAnsi="Arial"/>
                <w:b/>
                <w:bCs/>
                <w:color w:val="1F6F6B"/>
                <w:sz w:val="18"/>
                <w:szCs w:val="18"/>
              </w:rPr>
              <w:t xml:space="preserve">SIMPLE arithmetic with categorisation risk</w:t>
            </w:r>
          </w:p>
          <w:p>
            <w:pPr>
              <w:spacing w:line="274"/>
            </w:pPr>
            <w:r>
              <w:rPr>
                <w:rFonts w:ascii="Arial" w:cs="Arial" w:eastAsia="Arial" w:hAnsi="Arial"/>
                <w:color w:val="2B2B2B"/>
                <w:sz w:val="21"/>
                <w:szCs w:val="21"/>
              </w:rPr>
              <w:t xml:space="preserve">The core math is simple and now points in the safe direction. Before the fix it under-reserved, which is the exact harm the feature exists to prevent; after the fix it errs toward over-reserving, which is correct for a tax-reserve tool. Confidence is now MEDIUM-HIGH and, importantly, the residual error is in the safe direction.</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eligibility factors are a reasonable default but the real recoverable fraction varies by business; this should be validated against actual filed returns where available.</w:t>
      </w:r>
    </w:p>
    <w:p>
      <w:pPr>
        <w:pStyle w:val="ListParagraph"/>
        <w:numPr>
          <w:ilvl w:val="0"/>
          <w:numId w:val="2"/>
        </w:numPr>
        <w:spacing w:after="70" w:line="270"/>
      </w:pPr>
      <w:r>
        <w:rPr>
          <w:rFonts w:ascii="Arial" w:cs="Arial" w:eastAsia="Arial" w:hAnsi="Arial"/>
          <w:sz w:val="21"/>
          <w:szCs w:val="21"/>
        </w:rPr>
        <w:t xml:space="preserve">Categorisation quality (the 30% LLM-fallback share) directly affects the ITC estimate, so it is coupled to categorisation accuracy improving.</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M-04</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Gross Margin Percentage</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Gross profit as a percentage of revenue — (revenue minus COGS) divided by revenue — tracked weekly, with a z-score layer that alerts when margin drops more than the threshold below its 12-week norm.</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z-score assumed margin is roughly normal, but margin is bounded and, for a stable business, sits in a very tight band, so a tiny standard deviation made the alert band absurdly narrow and tripped on ordinary moves.</w:t>
      </w:r>
    </w:p>
    <w:p>
      <w:pPr>
        <w:pStyle w:val="ListParagraph"/>
        <w:numPr>
          <w:ilvl w:val="0"/>
          <w:numId w:val="2"/>
        </w:numPr>
        <w:spacing w:after="70" w:line="270"/>
      </w:pPr>
      <w:r>
        <w:rPr>
          <w:rFonts w:ascii="Arial" w:cs="Arial" w:eastAsia="Arial" w:hAnsi="Arial"/>
          <w:sz w:val="21"/>
          <w:szCs w:val="21"/>
        </w:rPr>
        <w:t xml:space="preserve">COGS posts on a lag and in lumps in the accounting system, so the weekly margin swung on bookkeeping timing rather than real performance.</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floored the standard deviation at a metric-specific minimum (about 1 percentage point) so a steady business is not punished for being steady.</w:t>
      </w:r>
    </w:p>
    <w:p>
      <w:pPr>
        <w:pStyle w:val="ListParagraph"/>
        <w:numPr>
          <w:ilvl w:val="0"/>
          <w:numId w:val="2"/>
        </w:numPr>
        <w:spacing w:after="70" w:line="270"/>
      </w:pPr>
      <w:r>
        <w:rPr>
          <w:rFonts w:ascii="Arial" w:cs="Arial" w:eastAsia="Arial" w:hAnsi="Arial"/>
          <w:sz w:val="21"/>
          <w:szCs w:val="21"/>
        </w:rPr>
        <w:t xml:space="preserve">When COGS posting is stale or lumpy this week, we smooth to a trailing 4-week margin and suppress the raw-week z-alert.</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HIGH for the level, GOOD for the alert</w:t>
            </w:r>
          </w:p>
          <w:p>
            <w:pPr>
              <w:spacing w:line="274"/>
            </w:pPr>
            <w:r>
              <w:rPr>
                <w:rFonts w:ascii="Arial" w:cs="Arial" w:eastAsia="Arial" w:hAnsi="Arial"/>
                <w:color w:val="2B2B2B"/>
                <w:sz w:val="21"/>
                <w:szCs w:val="21"/>
              </w:rPr>
              <w:t xml:space="preserve">The level (the margin percentage itself) is exact and reliable. The alert layer is now substantially better behaved — the sigma floor removes the most common false-alarm cause. We are confident in the reported margin and reasonably confident in the alert, pending real-data confirmation of the false-positive rate.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sigma floor value and the COGS-staleness trigger need tuning on real P&amp;L feeds.</w:t>
      </w:r>
    </w:p>
    <w:p>
      <w:pPr>
        <w:pStyle w:val="ListParagraph"/>
        <w:numPr>
          <w:ilvl w:val="0"/>
          <w:numId w:val="2"/>
        </w:numPr>
        <w:spacing w:after="70" w:line="270"/>
      </w:pPr>
      <w:r>
        <w:rPr>
          <w:rFonts w:ascii="Arial" w:cs="Arial" w:eastAsia="Arial" w:hAnsi="Arial"/>
          <w:sz w:val="21"/>
          <w:szCs w:val="21"/>
        </w:rPr>
        <w:t xml:space="preserve">Like all z-metrics, its true false-positive rate can only be measured against real businesses in shadow mode.</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M-05</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Food Cost Percentage</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Food and beverage cost as a percentage of food revenue, weekly, with a z-score alert when cost rises above the 12-week norm and an absolute ceiling at 40%.</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framework treated a very large z-score as very high confidence, but a z that large is statistically near-impossible under the model's own assumption — it indicates the reading is not a normal event at all, most often a data error (double-counted invoice, POS remap, bulk stock-up) rather than a real overnight cost blowout.</w:t>
      </w:r>
    </w:p>
    <w:p>
      <w:pPr>
        <w:pStyle w:val="ListParagraph"/>
        <w:numPr>
          <w:ilvl w:val="0"/>
          <w:numId w:val="2"/>
        </w:numPr>
        <w:spacing w:after="70" w:line="270"/>
      </w:pPr>
      <w:r>
        <w:rPr>
          <w:rFonts w:ascii="Arial" w:cs="Arial" w:eastAsia="Arial" w:hAnsi="Arial"/>
          <w:sz w:val="21"/>
          <w:szCs w:val="21"/>
        </w:rPr>
        <w:t xml:space="preserve">Food received one week and sold the next mismatched the cost and revenue periods.</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cap the z used for confidence and re-route anything beyond about 4 sigma to a 'verify this data' path rather than asserting a cost crisis.</w:t>
      </w:r>
    </w:p>
    <w:p>
      <w:pPr>
        <w:pStyle w:val="ListParagraph"/>
        <w:numPr>
          <w:ilvl w:val="0"/>
          <w:numId w:val="2"/>
        </w:numPr>
        <w:spacing w:after="70" w:line="270"/>
      </w:pPr>
      <w:r>
        <w:rPr>
          <w:rFonts w:ascii="Arial" w:cs="Arial" w:eastAsia="Arial" w:hAnsi="Arial"/>
          <w:sz w:val="21"/>
          <w:szCs w:val="21"/>
        </w:rPr>
        <w:t xml:space="preserve">Believable cost rises (z between 2 and 4) still alert normally; the existing 'spike with no matching supplier invoice = waste/theft' flag is retained and extended so a spike WITH an outsized invoice is treated as a possible bulk-buy timing issue.</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HIGH for the level and the moderate alert</w:t>
            </w:r>
          </w:p>
          <w:p>
            <w:pPr>
              <w:spacing w:line="274"/>
            </w:pPr>
            <w:r>
              <w:rPr>
                <w:rFonts w:ascii="Arial" w:cs="Arial" w:eastAsia="Arial" w:hAnsi="Arial"/>
                <w:color w:val="2B2B2B"/>
                <w:sz w:val="21"/>
                <w:szCs w:val="21"/>
              </w:rPr>
              <w:t xml:space="preserve">The cleanest metric in the system. The level is exact, and the alert is now honest about the difference between a believable cost rise and a likely data glitch. We are confident here. The remaining uncertainty is operational (period-matching of deliveries), not mathematical.</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4-sigma 'verify data' cutoff is a sensible default but should be confirmed against real restaurant data.</w:t>
      </w:r>
    </w:p>
    <w:p>
      <w:pPr>
        <w:pStyle w:val="ListParagraph"/>
        <w:numPr>
          <w:ilvl w:val="0"/>
          <w:numId w:val="2"/>
        </w:numPr>
        <w:spacing w:after="70" w:line="270"/>
      </w:pPr>
      <w:r>
        <w:rPr>
          <w:rFonts w:ascii="Arial" w:cs="Arial" w:eastAsia="Arial" w:hAnsi="Arial"/>
          <w:sz w:val="21"/>
          <w:szCs w:val="21"/>
        </w:rPr>
        <w:t xml:space="preserve">Period-matching of deliveries to sales weeks is an ingestion concern, not a formula concern, and deserves attention at the data layer.</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M-06</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Labor Cost as % of Revenue</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Total payroll expense divided by revenue for the same period, with a z-score alert and a compound signal that escalates when labour rises while revenue falls at the same time.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metric is defined on accrual labour (hours times rate), but when hours data is missing the fallback divided monthly payroll by the number of weeks in the month — which reintroduced the exact biweekly distortion it set out to remove (a three-payday month looked ~50% heavier).</w:t>
      </w:r>
    </w:p>
    <w:p>
      <w:pPr>
        <w:pStyle w:val="ListParagraph"/>
        <w:numPr>
          <w:ilvl w:val="0"/>
          <w:numId w:val="2"/>
        </w:numPr>
        <w:spacing w:after="70" w:line="270"/>
      </w:pPr>
      <w:r>
        <w:rPr>
          <w:rFonts w:ascii="Arial" w:cs="Arial" w:eastAsia="Arial" w:hAnsi="Arial"/>
          <w:sz w:val="21"/>
          <w:szCs w:val="21"/>
        </w:rPr>
        <w:t xml:space="preserve">The compound signal multiplied two noisy 12-week estimates together and could fire on a one-week coincidence.</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When hours are unavailable we now annualise payroll and divide evenly (annual divided by 52), removing the pay-calendar artefact.</w:t>
      </w:r>
    </w:p>
    <w:p>
      <w:pPr>
        <w:pStyle w:val="ListParagraph"/>
        <w:numPr>
          <w:ilvl w:val="0"/>
          <w:numId w:val="2"/>
        </w:numPr>
        <w:spacing w:after="70" w:line="270"/>
      </w:pPr>
      <w:r>
        <w:rPr>
          <w:rFonts w:ascii="Arial" w:cs="Arial" w:eastAsia="Arial" w:hAnsi="Arial"/>
          <w:sz w:val="21"/>
          <w:szCs w:val="21"/>
        </w:rPr>
        <w:t xml:space="preserve">The compound escalation now requires the condition to hold for two consecutive weeks before it is raised to high priority.</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A1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9A6A1F"/>
                <w:sz w:val="18"/>
                <w:szCs w:val="18"/>
              </w:rPr>
              <w:t xml:space="preserve">HOW ACCURATE WE FEEL IT IS  —  </w:t>
            </w:r>
            <w:r>
              <w:rPr>
                <w:rFonts w:ascii="Arial" w:cs="Arial" w:eastAsia="Arial" w:hAnsi="Arial"/>
                <w:b/>
                <w:bCs/>
                <w:color w:val="9A6A1F"/>
                <w:sz w:val="18"/>
                <w:szCs w:val="18"/>
              </w:rPr>
              <w:t xml:space="preserve">GOOD, improved</w:t>
            </w:r>
          </w:p>
          <w:p>
            <w:pPr>
              <w:spacing w:line="274"/>
            </w:pPr>
            <w:r>
              <w:rPr>
                <w:rFonts w:ascii="Arial" w:cs="Arial" w:eastAsia="Arial" w:hAnsi="Arial"/>
                <w:color w:val="2B2B2B"/>
                <w:sz w:val="21"/>
                <w:szCs w:val="21"/>
              </w:rPr>
              <w:t xml:space="preserve">When hours data is present, the metric is accurate. The fallback is now free of the calendar saw-tooth, so the no-hours case is materially better. The compound signal's two-week persistence rule collapses its false-positive rate. Reasonably confident, pending real-data tuning.</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quality of the no-hours fallback still depends on payroll data granularity; businesses that give only lump-sum runs remain the weakest case.</w:t>
      </w:r>
    </w:p>
    <w:p>
      <w:pPr>
        <w:pStyle w:val="ListParagraph"/>
        <w:numPr>
          <w:ilvl w:val="0"/>
          <w:numId w:val="2"/>
        </w:numPr>
        <w:spacing w:after="70" w:line="270"/>
      </w:pPr>
      <w:r>
        <w:rPr>
          <w:rFonts w:ascii="Arial" w:cs="Arial" w:eastAsia="Arial" w:hAnsi="Arial"/>
          <w:sz w:val="21"/>
          <w:szCs w:val="21"/>
        </w:rPr>
        <w:t xml:space="preserve">The two-week persistence window is a judgment call to confirm against real labour data.</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M-07</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Receivables Days Sales Outstanding (DSO)</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How many days, on average, it takes to collect from customers — accounts-receivable balance times 90, divided by 90-day revenue — with a z-score alert and vertical ceilings.</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numerator used a single-day AR snapshot, so issuing one large invoice the day before the weekly run spiked DSO even though collection speed had not changed.</w:t>
      </w:r>
    </w:p>
    <w:p>
      <w:pPr>
        <w:pStyle w:val="ListParagraph"/>
        <w:numPr>
          <w:ilvl w:val="0"/>
          <w:numId w:val="2"/>
        </w:numPr>
        <w:spacing w:after="70" w:line="270"/>
      </w:pPr>
      <w:r>
        <w:rPr>
          <w:rFonts w:ascii="Arial" w:cs="Arial" w:eastAsia="Arial" w:hAnsi="Arial"/>
          <w:sz w:val="21"/>
          <w:szCs w:val="21"/>
        </w:rPr>
        <w:t xml:space="preserve">The absolute ceilings (contractor 70 days, agency 45) collided with legitimate net-60 contract terms.</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switched the numerator to an average AR over the last four weeks, so one freshly-issued invoice can no longer whipsaw the figure.</w:t>
      </w:r>
    </w:p>
    <w:p>
      <w:pPr>
        <w:pStyle w:val="ListParagraph"/>
        <w:numPr>
          <w:ilvl w:val="0"/>
          <w:numId w:val="2"/>
        </w:numPr>
        <w:spacing w:after="70" w:line="270"/>
      </w:pPr>
      <w:r>
        <w:rPr>
          <w:rFonts w:ascii="Arial" w:cs="Arial" w:eastAsia="Arial" w:hAnsi="Arial"/>
          <w:sz w:val="21"/>
          <w:szCs w:val="21"/>
        </w:rPr>
        <w:t xml:space="preserve">The ceiling is now a function of the business's own stated payment terms (terms plus a buffer) rather than a flat vertical constant.</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HIGH, improved</w:t>
            </w:r>
          </w:p>
          <w:p>
            <w:pPr>
              <w:spacing w:line="274"/>
            </w:pPr>
            <w:r>
              <w:rPr>
                <w:rFonts w:ascii="Arial" w:cs="Arial" w:eastAsia="Arial" w:hAnsi="Arial"/>
                <w:color w:val="2B2B2B"/>
                <w:sz w:val="21"/>
                <w:szCs w:val="21"/>
              </w:rPr>
              <w:t xml:space="preserve">The averaging fix removes the dominant false-spike cause; in testing, a single fresh invoice that pushed snapshot DSO to ~104 days settled to a true ~50 with averaged AR. The terms-aware ceiling stops nagging businesses that are operating exactly as contracted. We are confident in this metric now.</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four-week averaging window is a reasonable default but worth confirming for very lumpy B2B billers.</w:t>
      </w:r>
    </w:p>
    <w:p>
      <w:pPr>
        <w:pStyle w:val="ListParagraph"/>
        <w:numPr>
          <w:ilvl w:val="0"/>
          <w:numId w:val="2"/>
        </w:numPr>
        <w:spacing w:after="70" w:line="270"/>
      </w:pPr>
      <w:r>
        <w:rPr>
          <w:rFonts w:ascii="Arial" w:cs="Arial" w:eastAsia="Arial" w:hAnsi="Arial"/>
          <w:sz w:val="21"/>
          <w:szCs w:val="21"/>
        </w:rPr>
        <w:t xml:space="preserve">Capturing each business's stated payment terms at setup is now a data-collection requirement for the ceiling to work.</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M-08</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Per-Client Payment Delay</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a specific client is paying unusually late relative to their own history — a per-client z-score of current days-overdue against that client's average delay and standard deviation.</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max(stdev, 1) floor, while preventing divide-by-zero, manufactured enormous z-scores for very consistent payers the first time they were a little late for a benign reason.</w:t>
      </w:r>
    </w:p>
    <w:p>
      <w:pPr>
        <w:pStyle w:val="ListParagraph"/>
        <w:numPr>
          <w:ilvl w:val="0"/>
          <w:numId w:val="2"/>
        </w:numPr>
        <w:spacing w:after="70" w:line="270"/>
      </w:pPr>
      <w:r>
        <w:rPr>
          <w:rFonts w:ascii="Arial" w:cs="Arial" w:eastAsia="Arial" w:hAnsi="Arial"/>
          <w:sz w:val="21"/>
          <w:szCs w:val="21"/>
        </w:rPr>
        <w:t xml:space="preserve">The minimum of only three paid invoices made the standard deviation barely meaningful.</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added a practical-significance gate: alert only if the z exceeds 2.5 AND the client is at least 10 days past their own norm, so a tiny harmless delay can no longer look like a crisis.</w:t>
      </w:r>
    </w:p>
    <w:p>
      <w:pPr>
        <w:pStyle w:val="ListParagraph"/>
        <w:numPr>
          <w:ilvl w:val="0"/>
          <w:numId w:val="2"/>
        </w:numPr>
        <w:spacing w:after="70" w:line="270"/>
      </w:pPr>
      <w:r>
        <w:rPr>
          <w:rFonts w:ascii="Arial" w:cs="Arial" w:eastAsia="Arial" w:hAnsi="Arial"/>
          <w:sz w:val="21"/>
          <w:szCs w:val="21"/>
        </w:rPr>
        <w:t xml:space="preserve">We raised the activation minimum from three to six paid invoices; below that the client shows a 'limited history' monitor state rather than a confident score.</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MEDIUM-HIGH, improved</w:t>
            </w:r>
          </w:p>
          <w:p>
            <w:pPr>
              <w:spacing w:line="274"/>
            </w:pPr>
            <w:r>
              <w:rPr>
                <w:rFonts w:ascii="Arial" w:cs="Arial" w:eastAsia="Arial" w:hAnsi="Arial"/>
                <w:color w:val="2B2B2B"/>
                <w:sz w:val="21"/>
                <w:szCs w:val="21"/>
              </w:rPr>
              <w:t xml:space="preserve">The statistical approach is sound and the two changes remove the main false-alarm modes. In testing, a reliable 3-day payer who hit one benign 7-day delay no longer alerts, while a genuine 14-day slip still does. Confidence improves with client history and is now appropriately gated on having enough of it.</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10-day practical floor is a default that may want to vary by vertical (a net-15 agency vs a net-60 contractor).</w:t>
      </w:r>
    </w:p>
    <w:p>
      <w:pPr>
        <w:pStyle w:val="ListParagraph"/>
        <w:numPr>
          <w:ilvl w:val="0"/>
          <w:numId w:val="2"/>
        </w:numPr>
        <w:spacing w:after="70" w:line="270"/>
      </w:pPr>
      <w:r>
        <w:rPr>
          <w:rFonts w:ascii="Arial" w:cs="Arial" w:eastAsia="Arial" w:hAnsi="Arial"/>
          <w:sz w:val="21"/>
          <w:szCs w:val="21"/>
        </w:rPr>
        <w:t xml:space="preserve">Clients with thin history are correctly held back, but that means coverage is partial until histories build.</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M-09</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Vendor Spend Anomaly</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any vendor charged unusually more than normal this week — a per-vendor z-score against that vendor's own 12-week history.</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It ran one independent test per vendor every week, so a business with dozens of vendors had a high chance that SOME vendor false-alarmed each week (about 60% at 40 vendors) — the single biggest contributor to alert fatigue.</w:t>
      </w:r>
    </w:p>
    <w:p>
      <w:pPr>
        <w:pStyle w:val="ListParagraph"/>
        <w:numPr>
          <w:ilvl w:val="0"/>
          <w:numId w:val="2"/>
        </w:numPr>
        <w:spacing w:after="70" w:line="270"/>
      </w:pPr>
      <w:r>
        <w:rPr>
          <w:rFonts w:ascii="Arial" w:cs="Arial" w:eastAsia="Arial" w:hAnsi="Arial"/>
          <w:sz w:val="21"/>
          <w:szCs w:val="21"/>
        </w:rPr>
        <w:t xml:space="preserve">Usage-based vendors (cloud, usage SaaS) legitimately scale with the business but were tested against a flat mean, so they alerted on every busy week.</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replaced independent per-vendor testing with a portfolio-level false-discovery control (rank all vendors, surface only the genuinely unusual few) plus a hard cap on vendor alerts per run, ranked by severity.</w:t>
      </w:r>
    </w:p>
    <w:p>
      <w:pPr>
        <w:pStyle w:val="ListParagraph"/>
        <w:numPr>
          <w:ilvl w:val="0"/>
          <w:numId w:val="2"/>
        </w:numPr>
        <w:spacing w:after="70" w:line="270"/>
      </w:pPr>
      <w:r>
        <w:rPr>
          <w:rFonts w:ascii="Arial" w:cs="Arial" w:eastAsia="Arial" w:hAnsi="Arial"/>
          <w:sz w:val="21"/>
          <w:szCs w:val="21"/>
        </w:rPr>
        <w:t xml:space="preserve">We tighten the cutoff as the number of simultaneous tests grows (about 2.45 sigma at 7 vendors, 2.81 at 20, 3.02 at 40, to hold a 5% weekly family-wise rate).</w:t>
      </w:r>
    </w:p>
    <w:p>
      <w:pPr>
        <w:pStyle w:val="ListParagraph"/>
        <w:numPr>
          <w:ilvl w:val="0"/>
          <w:numId w:val="2"/>
        </w:numPr>
        <w:spacing w:after="70" w:line="270"/>
      </w:pPr>
      <w:r>
        <w:rPr>
          <w:rFonts w:ascii="Arial" w:cs="Arial" w:eastAsia="Arial" w:hAnsi="Arial"/>
          <w:sz w:val="21"/>
          <w:szCs w:val="21"/>
        </w:rPr>
        <w:t xml:space="preserve">Usage-based vendors are now scored on charge-to-revenue ratio rather than raw charge.</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A1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9A6A1F"/>
                <w:sz w:val="18"/>
                <w:szCs w:val="18"/>
              </w:rPr>
              <w:t xml:space="preserve">HOW ACCURATE WE FEEL IT IS  —  </w:t>
            </w:r>
            <w:r>
              <w:rPr>
                <w:rFonts w:ascii="Arial" w:cs="Arial" w:eastAsia="Arial" w:hAnsi="Arial"/>
                <w:b/>
                <w:bCs/>
                <w:color w:val="9A6A1F"/>
                <w:sz w:val="18"/>
                <w:szCs w:val="18"/>
              </w:rPr>
              <w:t xml:space="preserve">GOOD math, NOT YET ready to alert owners</w:t>
            </w:r>
          </w:p>
          <w:p>
            <w:pPr>
              <w:spacing w:line="274"/>
            </w:pPr>
            <w:r>
              <w:rPr>
                <w:rFonts w:ascii="Arial" w:cs="Arial" w:eastAsia="Arial" w:hAnsi="Arial"/>
                <w:color w:val="2B2B2B"/>
                <w:sz w:val="21"/>
                <w:szCs w:val="21"/>
              </w:rPr>
              <w:t xml:space="preserve">The per-vendor math is sound and the alert-budget control is the right fix. But this is the metric most exposed to false alarms, so we treat it as ready to MEASURE (shadow mode) but not yet ready to SEND alerts to owners until the budget control is validated on real vendor sets.</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alert-budget parameters (cap size, FDR rate) must be tuned on real businesses; this is the highest-priority shadow-mode candidate.</w:t>
      </w:r>
    </w:p>
    <w:p>
      <w:pPr>
        <w:pStyle w:val="ListParagraph"/>
        <w:numPr>
          <w:ilvl w:val="0"/>
          <w:numId w:val="2"/>
        </w:numPr>
        <w:spacing w:after="70" w:line="270"/>
      </w:pPr>
      <w:r>
        <w:rPr>
          <w:rFonts w:ascii="Arial" w:cs="Arial" w:eastAsia="Arial" w:hAnsi="Arial"/>
          <w:sz w:val="21"/>
          <w:szCs w:val="21"/>
        </w:rPr>
        <w:t xml:space="preserve">Tagging usage-based vendors at setup is a new data requirement.</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M-10</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Weekly Revenue Trend (Seasonal)</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this week's revenue is unusually low for THIS business at THIS time of year — actual revenue against a seasonally-expected figure, scored by a z-score on the residual.</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per-week residual standard deviation was estimated from only about two observations per week-of-year (24 months of history). You cannot estimate a standard deviation from two points; the denominator was effectively random.</w:t>
      </w:r>
    </w:p>
    <w:p>
      <w:pPr>
        <w:pStyle w:val="ListParagraph"/>
        <w:numPr>
          <w:ilvl w:val="0"/>
          <w:numId w:val="2"/>
        </w:numPr>
        <w:spacing w:after="70" w:line="270"/>
      </w:pPr>
      <w:r>
        <w:rPr>
          <w:rFonts w:ascii="Arial" w:cs="Arial" w:eastAsia="Arial" w:hAnsi="Arial"/>
          <w:sz w:val="21"/>
          <w:szCs w:val="21"/>
        </w:rPr>
        <w:t xml:space="preserve">This is the weakest math in the system AND it feeds the survival metrics (M-01, M-11, M-12), so its noise propagated into metrics labelled high confidence.</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stopped estimating a separate standard deviation per week. We pool the residual variance across all weeks into one stable figure used as the denominator.</w:t>
      </w:r>
    </w:p>
    <w:p>
      <w:pPr>
        <w:pStyle w:val="ListParagraph"/>
        <w:numPr>
          <w:ilvl w:val="0"/>
          <w:numId w:val="2"/>
        </w:numPr>
        <w:spacing w:after="70" w:line="270"/>
      </w:pPr>
      <w:r>
        <w:rPr>
          <w:rFonts w:ascii="Arial" w:cs="Arial" w:eastAsia="Arial" w:hAnsi="Arial"/>
          <w:sz w:val="21"/>
          <w:szCs w:val="21"/>
        </w:rPr>
        <w:t xml:space="preserve">We smooth the 52-week seasonal curve (monthly index interpolated or a low-order seasonal fit) so two noisy yearly points do not define 52 free parameters.</w:t>
      </w:r>
    </w:p>
    <w:p>
      <w:pPr>
        <w:pStyle w:val="ListParagraph"/>
        <w:numPr>
          <w:ilvl w:val="0"/>
          <w:numId w:val="2"/>
        </w:numPr>
        <w:spacing w:after="70" w:line="270"/>
      </w:pPr>
      <w:r>
        <w:rPr>
          <w:rFonts w:ascii="Arial" w:cs="Arial" w:eastAsia="Arial" w:hAnsi="Arial"/>
          <w:sz w:val="21"/>
          <w:szCs w:val="21"/>
        </w:rPr>
        <w:t xml:space="preserve">Until 3+ years of history exist, we widen the band and explicitly label any revenue-derived cash forecast as lower-confidence.</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A1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9A6A1F"/>
                <w:sz w:val="18"/>
                <w:szCs w:val="18"/>
              </w:rPr>
              <w:t xml:space="preserve">HOW ACCURATE WE FEEL IT IS  —  </w:t>
            </w:r>
            <w:r>
              <w:rPr>
                <w:rFonts w:ascii="Arial" w:cs="Arial" w:eastAsia="Arial" w:hAnsi="Arial"/>
                <w:b/>
                <w:bCs/>
                <w:color w:val="9A6A1F"/>
                <w:sz w:val="18"/>
                <w:szCs w:val="18"/>
              </w:rPr>
              <w:t xml:space="preserve">IMPROVED but still the weakest — KEEP WORKING</w:t>
            </w:r>
          </w:p>
          <w:p>
            <w:pPr>
              <w:spacing w:line="274"/>
            </w:pPr>
            <w:r>
              <w:rPr>
                <w:rFonts w:ascii="Arial" w:cs="Arial" w:eastAsia="Arial" w:hAnsi="Arial"/>
                <w:color w:val="2B2B2B"/>
                <w:sz w:val="21"/>
                <w:szCs w:val="21"/>
              </w:rPr>
              <w:t xml:space="preserve">The pooling fix is a large improvement: in testing, per-week estimates from two points ranged from 10 to 1317 against a true value of 500, while the pooled estimate landed at 516. That makes the metric usable rather than random. But it remains the most data-hungry metric in the system and the one whose accuracy most improves with more history. We are honestly MEDIUM here and have flagged it as the foundation to keep perfecting.</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It genuinely needs more historical data — accuracy rises materially as businesses accumulate a third and fourth year.</w:t>
      </w:r>
    </w:p>
    <w:p>
      <w:pPr>
        <w:pStyle w:val="ListParagraph"/>
        <w:numPr>
          <w:ilvl w:val="0"/>
          <w:numId w:val="2"/>
        </w:numPr>
        <w:spacing w:after="70" w:line="270"/>
      </w:pPr>
      <w:r>
        <w:rPr>
          <w:rFonts w:ascii="Arial" w:cs="Arial" w:eastAsia="Arial" w:hAnsi="Arial"/>
          <w:sz w:val="21"/>
          <w:szCs w:val="21"/>
        </w:rPr>
        <w:t xml:space="preserve">Because M-01, M-11, and M-12 sit on top of it, it is the single highest-leverage metric to keep improving, and the others are gated on it.</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M-11</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Hire Affordability Model</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the business can afford a proposed hire — it reruns the 90-day cash model with the hire's cost added and reports the minimum projected balance, classified Safe / Marginal / Risky / Unaffordable.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It modelled the hire as a clean daily salary cost only — no onboarding ramp, no one-time setup cost, and crucially no revenue the hire is meant to generate (so every hire looked like pure cost).</w:t>
      </w:r>
    </w:p>
    <w:p>
      <w:pPr>
        <w:pStyle w:val="ListParagraph"/>
        <w:numPr>
          <w:ilvl w:val="0"/>
          <w:numId w:val="2"/>
        </w:numPr>
        <w:spacing w:after="70" w:line="270"/>
      </w:pPr>
      <w:r>
        <w:rPr>
          <w:rFonts w:ascii="Arial" w:cs="Arial" w:eastAsia="Arial" w:hAnsi="Arial"/>
          <w:sz w:val="21"/>
          <w:szCs w:val="21"/>
        </w:rPr>
        <w:t xml:space="preserve">It rests entirely on the M-01 forecast, so a 'Safe' verdict was only as good as a seasonal revenue estimate three months out.</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added the real cash shape of a hire: one-time setup cost, a productivity ramp, and an optional revenue contribution starting in month 2-3.</w:t>
      </w:r>
    </w:p>
    <w:p>
      <w:pPr>
        <w:pStyle w:val="ListParagraph"/>
        <w:numPr>
          <w:ilvl w:val="0"/>
          <w:numId w:val="2"/>
        </w:numPr>
        <w:spacing w:after="70" w:line="270"/>
      </w:pPr>
      <w:r>
        <w:rPr>
          <w:rFonts w:ascii="Arial" w:cs="Arial" w:eastAsia="Arial" w:hAnsi="Arial"/>
          <w:sz w:val="21"/>
          <w:szCs w:val="21"/>
        </w:rPr>
        <w:t xml:space="preserve">The verdict is now reported against M-01's simulation band ('safe in ~80% of scenarios; tight if Q4 underperforms') rather than a single binary label.</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23A3A"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B23A3A"/>
                <w:sz w:val="18"/>
                <w:szCs w:val="18"/>
              </w:rPr>
              <w:t xml:space="preserve">HOW ACCURATE WE FEEL IT IS  —  </w:t>
            </w:r>
            <w:r>
              <w:rPr>
                <w:rFonts w:ascii="Arial" w:cs="Arial" w:eastAsia="Arial" w:hAnsi="Arial"/>
                <w:b/>
                <w:bCs/>
                <w:color w:val="B23A3A"/>
                <w:sz w:val="18"/>
                <w:szCs w:val="18"/>
              </w:rPr>
              <w:t xml:space="preserve">DEPENDENT — park until M-01/M-10 are solid</w:t>
            </w:r>
          </w:p>
          <w:p>
            <w:pPr>
              <w:spacing w:line="274"/>
            </w:pPr>
            <w:r>
              <w:rPr>
                <w:rFonts w:ascii="Arial" w:cs="Arial" w:eastAsia="Arial" w:hAnsi="Arial"/>
                <w:color w:val="2B2B2B"/>
                <w:sz w:val="21"/>
                <w:szCs w:val="21"/>
              </w:rPr>
              <w:t xml:space="preserve">There is no independent math to be confident in here; it is a wrapper around M-01 plus owner inputs. The revisions make it more realistic, but its accuracy is entirely inherited from the forecast. We recommend setting it aside operationally until M-01 and M-10 are solid, at which point it becomes accurate for free.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ramp and revenue-contribution assumptions are owner-supplied and need sensible defaults.</w:t>
      </w:r>
    </w:p>
    <w:p>
      <w:pPr>
        <w:pStyle w:val="ListParagraph"/>
        <w:numPr>
          <w:ilvl w:val="0"/>
          <w:numId w:val="2"/>
        </w:numPr>
        <w:spacing w:after="70" w:line="270"/>
      </w:pPr>
      <w:r>
        <w:rPr>
          <w:rFonts w:ascii="Arial" w:cs="Arial" w:eastAsia="Arial" w:hAnsi="Arial"/>
          <w:sz w:val="21"/>
          <w:szCs w:val="21"/>
        </w:rPr>
        <w:t xml:space="preserve">It should not be a priority build right now; perfecting M-01 perfects it.</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M-12</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Project / Contract Float Analysis</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Whether a project can be self-funded through the gap between paying upfront costs and receiving client payment, and how large a credit draw would bridge it.</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For a first project with a new client it assumed on-time payment, which is optimistic exactly where the stakes are highest.</w:t>
      </w:r>
    </w:p>
    <w:p>
      <w:pPr>
        <w:pStyle w:val="ListParagraph"/>
        <w:numPr>
          <w:ilvl w:val="0"/>
          <w:numId w:val="2"/>
        </w:numPr>
        <w:spacing w:after="70" w:line="270"/>
      </w:pPr>
      <w:r>
        <w:rPr>
          <w:rFonts w:ascii="Arial" w:cs="Arial" w:eastAsia="Arial" w:hAnsi="Arial"/>
          <w:sz w:val="21"/>
          <w:szCs w:val="21"/>
        </w:rPr>
        <w:t xml:space="preserve">When the float was collapsed to a simple upfront-cost-minus-balance subtraction, it ignored ordinary payroll and rent accruing during the float, so the real low point was deeper and the recommended draw too small.</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always run the full daily loop across the float window now, including the baseline fixed costs that accrue during it.</w:t>
      </w:r>
    </w:p>
    <w:p>
      <w:pPr>
        <w:pStyle w:val="ListParagraph"/>
        <w:numPr>
          <w:ilvl w:val="0"/>
          <w:numId w:val="2"/>
        </w:numPr>
        <w:spacing w:after="70" w:line="270"/>
      </w:pPr>
      <w:r>
        <w:rPr>
          <w:rFonts w:ascii="Arial" w:cs="Arial" w:eastAsia="Arial" w:hAnsi="Arial"/>
          <w:sz w:val="21"/>
          <w:szCs w:val="21"/>
        </w:rPr>
        <w:t xml:space="preserve">For unknown clients we apply the vertical's average lateness instead of assuming on-time payment, and we size the recommended credit draw to a 'client pays 30 days late' stress case.</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23A3A"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B23A3A"/>
                <w:sz w:val="18"/>
                <w:szCs w:val="18"/>
              </w:rPr>
              <w:t xml:space="preserve">HOW ACCURATE WE FEEL IT IS  —  </w:t>
            </w:r>
            <w:r>
              <w:rPr>
                <w:rFonts w:ascii="Arial" w:cs="Arial" w:eastAsia="Arial" w:hAnsi="Arial"/>
                <w:b/>
                <w:bCs/>
                <w:color w:val="B23A3A"/>
                <w:sz w:val="18"/>
                <w:szCs w:val="18"/>
              </w:rPr>
              <w:t xml:space="preserve">DEPENDENT — park until M-01 is solid</w:t>
            </w:r>
          </w:p>
          <w:p>
            <w:pPr>
              <w:spacing w:line="274"/>
            </w:pPr>
            <w:r>
              <w:rPr>
                <w:rFonts w:ascii="Arial" w:cs="Arial" w:eastAsia="Arial" w:hAnsi="Arial"/>
                <w:color w:val="2B2B2B"/>
                <w:sz w:val="21"/>
                <w:szCs w:val="21"/>
              </w:rPr>
              <w:t xml:space="preserve">Like the hire model, it is a wrapper around M-01 plus owner-entered schedules. The revisions fix the dangerous shortcuts (ignored fixed costs, optimistic payment), and the error now points the safe way. But it has no independent math to be separately confident in, so it is set aside until M-01 is solid.</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unknown-client lateness prior needs vertical-specific defaults.</w:t>
      </w:r>
    </w:p>
    <w:p>
      <w:pPr>
        <w:pStyle w:val="ListParagraph"/>
        <w:numPr>
          <w:ilvl w:val="0"/>
          <w:numId w:val="2"/>
        </w:numPr>
        <w:spacing w:after="70" w:line="270"/>
      </w:pPr>
      <w:r>
        <w:rPr>
          <w:rFonts w:ascii="Arial" w:cs="Arial" w:eastAsia="Arial" w:hAnsi="Arial"/>
          <w:sz w:val="21"/>
          <w:szCs w:val="21"/>
        </w:rPr>
        <w:t xml:space="preserve">Multi-milestone / progress-billing projects are a known harder case to detail later.</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M-13</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Runway (Founder Mode)</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How many months until a startup runs out of cash — current cash balance divided by net monthly burn (gross burn minus monthly revenue).</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single most consequential arithmetic risk in the whole model: if a payroll feed arrives on a non-monthly cycle (biweekly, weekly) and is plugged into a monthly burn total without conversion, burn is understated and runway is overstated. A biweekly figure read as monthly overstates runway by roughly 1.8x.</w:t>
      </w:r>
    </w:p>
    <w:p>
      <w:pPr>
        <w:pStyle w:val="ListParagraph"/>
        <w:numPr>
          <w:ilvl w:val="0"/>
          <w:numId w:val="2"/>
        </w:numPr>
        <w:spacing w:after="70" w:line="270"/>
      </w:pPr>
      <w:r>
        <w:rPr>
          <w:rFonts w:ascii="Arial" w:cs="Arial" w:eastAsia="Arial" w:hAnsi="Arial"/>
          <w:sz w:val="21"/>
          <w:szCs w:val="21"/>
        </w:rPr>
        <w:t xml:space="preserve">This is the headline number founders quote to investors, so the error was maximally visible and damaging.</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now normalise EVERY payroll feed to a monthly figure at ingestion with an explicit, tested conversion (biweekly times 26/12, weekly times 52/12, semimonthly times 2), and assert the unit so a non-monthly value can never reach a monthly total unconverted.</w:t>
      </w:r>
    </w:p>
    <w:p>
      <w:pPr>
        <w:pStyle w:val="ListParagraph"/>
        <w:numPr>
          <w:ilvl w:val="0"/>
          <w:numId w:val="2"/>
        </w:numPr>
        <w:spacing w:after="70" w:line="270"/>
      </w:pPr>
      <w:r>
        <w:rPr>
          <w:rFonts w:ascii="Arial" w:cs="Arial" w:eastAsia="Arial" w:hAnsi="Arial"/>
          <w:sz w:val="21"/>
          <w:szCs w:val="21"/>
        </w:rPr>
        <w:t xml:space="preserve">We added a cross-check: if M-13's runway and M-01's cash-gap date disagree (8 months vs a breach in 10 weeks), the contradiction is flagged.</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HIGH — once the fix is in</w:t>
            </w:r>
          </w:p>
          <w:p>
            <w:pPr>
              <w:spacing w:line="274"/>
            </w:pPr>
            <w:r>
              <w:rPr>
                <w:rFonts w:ascii="Arial" w:cs="Arial" w:eastAsia="Arial" w:hAnsi="Arial"/>
                <w:color w:val="2B2B2B"/>
                <w:sz w:val="21"/>
                <w:szCs w:val="21"/>
              </w:rPr>
              <w:t xml:space="preserve">With the normalization fix, this is one of the most testable and demonstrable metrics in the system: a live number compared against a real bank balance over time. Without the fix it was confidently wrong by ~1.8x. This is the clearest 'fix-then-fully-confident' case — the fix is small and the metric becomes a flagship.</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fix is a hard precondition for testing — validating an unconverted runway would mean validating a number wrong by ~1.8x without knowing it.</w:t>
      </w:r>
    </w:p>
    <w:p>
      <w:pPr>
        <w:pStyle w:val="ListParagraph"/>
        <w:numPr>
          <w:ilvl w:val="0"/>
          <w:numId w:val="2"/>
        </w:numPr>
        <w:spacing w:after="70" w:line="270"/>
      </w:pPr>
      <w:r>
        <w:rPr>
          <w:rFonts w:ascii="Arial" w:cs="Arial" w:eastAsia="Arial" w:hAnsi="Arial"/>
          <w:sz w:val="21"/>
          <w:szCs w:val="21"/>
        </w:rPr>
        <w:t xml:space="preserve">Net burn for mixed-revenue businesses (consulting plus product) still relies on revenue categorisation quality.</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M-14</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Break-Even Revenue Calculator</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The minimum revenue needed to cover all costs — fixed costs divided by the contribution margin ratio (one minus the variable-cost ratio).</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formula is exact; the weak point was the fixed-vs-variable split. Hourly labour is variable but, when paid through the same payroll debit as salaried staff, was tagged as fixed — which distorts the ratio and often understates break-even (the dangerous direction: owner thinks they're safe when not).</w:t>
      </w:r>
    </w:p>
    <w:p>
      <w:pPr>
        <w:pStyle w:val="ListParagraph"/>
        <w:numPr>
          <w:ilvl w:val="0"/>
          <w:numId w:val="2"/>
        </w:numPr>
        <w:spacing w:after="70" w:line="270"/>
      </w:pPr>
      <w:r>
        <w:rPr>
          <w:rFonts w:ascii="Arial" w:cs="Arial" w:eastAsia="Arial" w:hAnsi="Arial"/>
          <w:sz w:val="21"/>
          <w:szCs w:val="21"/>
        </w:rPr>
        <w:t xml:space="preserve">Step-fixed costs (fixed until you add a shift or location, then they jump) were treated as smoothly linear, misleading exactly at expansion-decision volumes.</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split payroll into fixed (salaried) and variable (hourly) using hours/rate data where available, and estimate the variable share from the vertical otherwise.</w:t>
      </w:r>
    </w:p>
    <w:p>
      <w:pPr>
        <w:pStyle w:val="ListParagraph"/>
        <w:numPr>
          <w:ilvl w:val="0"/>
          <w:numId w:val="2"/>
        </w:numPr>
        <w:spacing w:after="70" w:line="270"/>
      </w:pPr>
      <w:r>
        <w:rPr>
          <w:rFonts w:ascii="Arial" w:cs="Arial" w:eastAsia="Arial" w:hAnsi="Arial"/>
          <w:sz w:val="21"/>
          <w:szCs w:val="21"/>
        </w:rPr>
        <w:t xml:space="preserve">We report break-even as a range reflecting the classification uncertainty, and warn when the business is near a known step-cost boundary.</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F"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2E6B4F"/>
                <w:sz w:val="18"/>
                <w:szCs w:val="18"/>
              </w:rPr>
              <w:t xml:space="preserve">HOW ACCURATE WE FEEL IT IS  —  </w:t>
            </w:r>
            <w:r>
              <w:rPr>
                <w:rFonts w:ascii="Arial" w:cs="Arial" w:eastAsia="Arial" w:hAnsi="Arial"/>
                <w:b/>
                <w:bCs/>
                <w:color w:val="2E6B4F"/>
                <w:sz w:val="18"/>
                <w:szCs w:val="18"/>
              </w:rPr>
              <w:t xml:space="preserve">HIGH for the formula, GOOD for the inputs</w:t>
            </w:r>
          </w:p>
          <w:p>
            <w:pPr>
              <w:spacing w:line="274"/>
            </w:pPr>
            <w:r>
              <w:rPr>
                <w:rFonts w:ascii="Arial" w:cs="Arial" w:eastAsia="Arial" w:hAnsi="Arial"/>
                <w:color w:val="2B2B2B"/>
                <w:sz w:val="21"/>
                <w:szCs w:val="21"/>
              </w:rPr>
              <w:t xml:space="preserve">The CVP formula is exact and universally accepted. The remaining uncertainty is entirely in the cost-classification step, which the range now communicates honestly rather than hiding behind false precision. Confident in the math; the range is the honest expression of the input uncertainty.</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The variable-labour estimate when hours are missing needs vertical defaults.</w:t>
      </w:r>
    </w:p>
    <w:p>
      <w:pPr>
        <w:pStyle w:val="ListParagraph"/>
        <w:numPr>
          <w:ilvl w:val="0"/>
          <w:numId w:val="2"/>
        </w:numPr>
        <w:spacing w:after="70" w:line="270"/>
      </w:pPr>
      <w:r>
        <w:rPr>
          <w:rFonts w:ascii="Arial" w:cs="Arial" w:eastAsia="Arial" w:hAnsi="Arial"/>
          <w:sz w:val="21"/>
          <w:szCs w:val="21"/>
        </w:rPr>
        <w:t xml:space="preserve">Step-cost boundary detection is a nice-to-have that needs real cost-structure data to do well.</w:t>
      </w:r>
    </w:p>
    <w:p>
      <w:pPr>
        <w:pBdr>
          <w:bottom w:val="single" w:color="C9D4E0" w:sz="4" w:space="1"/>
        </w:pBdr>
        <w:spacing w:after="140" w:before="60"/>
      </w:pPr>
      <w:r>
        <w:rPr>
          <w:rFonts w:ascii="Arial" w:cs="Arial" w:eastAsia="Arial" w:hAnsi="Arial"/>
          <w:sz w:val="2"/>
          <w:szCs w:val="2"/>
        </w:rPr>
        <w:t xml:space="preserve"/>
      </w:r>
    </w:p>
    <w:p>
      <w:pPr>
        <w:keepNext/>
        <w:spacing w:before="22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M-15</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Expansion Readiness Score</w:t>
            </w:r>
          </w:p>
        </w:tc>
      </w:tr>
    </w:tbl>
    <w:p>
      <w:pPr>
        <w:spacing w:after="7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B4A" w:sz="18"/>
              <w:bottom w:val="none" w:color="FFFFFF" w:sz="0"/>
              <w:right w:val="none" w:color="FFFFFF" w:sz="0"/>
            </w:tcBorders>
            <w:shd w:fill="F4F6F8" w:val="clear"/>
            <w:tcMar>
              <w:top w:type="dxa" w:w="120"/>
              <w:left w:type="dxa" w:w="170"/>
              <w:bottom w:type="dxa" w:w="120"/>
              <w:right w:type="dxa" w:w="170"/>
            </w:tcMar>
          </w:tcPr>
          <w:p>
            <w:pPr>
              <w:spacing w:after="50"/>
            </w:pPr>
            <w:r>
              <w:rPr>
                <w:rFonts w:ascii="Arial" w:cs="Arial" w:eastAsia="Arial" w:hAnsi="Arial"/>
                <w:b/>
                <w:bCs/>
                <w:caps/>
                <w:color w:val="1A2B4A"/>
                <w:sz w:val="18"/>
                <w:szCs w:val="18"/>
              </w:rPr>
              <w:t xml:space="preserve">WHAT IT CALCULATES</w:t>
            </w:r>
          </w:p>
          <w:p>
            <w:pPr>
              <w:spacing w:line="274"/>
            </w:pPr>
            <w:r>
              <w:rPr>
                <w:rFonts w:ascii="Arial" w:cs="Arial" w:eastAsia="Arial" w:hAnsi="Arial"/>
                <w:color w:val="1F2D3D"/>
                <w:sz w:val="21"/>
                <w:szCs w:val="21"/>
              </w:rPr>
              <w:t xml:space="preserve">A 0-100 composite of six normalised component scores (DSO, margin, payroll coverage, runway, GST compliance, data quality) with weights, banded into readiness tiers.</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B23A3A"/>
          <w:sz w:val="19"/>
          <w:szCs w:val="19"/>
        </w:rPr>
        <w:t xml:space="preserve">Discrepancies we accounted for</w:t>
      </w:r>
    </w:p>
    <w:p>
      <w:pPr>
        <w:pStyle w:val="ListParagraph"/>
        <w:numPr>
          <w:ilvl w:val="0"/>
          <w:numId w:val="2"/>
        </w:numPr>
        <w:spacing w:after="70" w:line="270"/>
      </w:pPr>
      <w:r>
        <w:rPr>
          <w:rFonts w:ascii="Arial" w:cs="Arial" w:eastAsia="Arial" w:hAnsi="Arial"/>
          <w:sz w:val="21"/>
          <w:szCs w:val="21"/>
        </w:rPr>
        <w:t xml:space="preserve">The weights were asserted from a view of what banks emphasise, not fitted to any outcome, yet the score was reported to two decimals — false precision on what is essentially an informed opinion.</w:t>
      </w:r>
    </w:p>
    <w:p>
      <w:pPr>
        <w:pStyle w:val="ListParagraph"/>
        <w:numPr>
          <w:ilvl w:val="0"/>
          <w:numId w:val="2"/>
        </w:numPr>
        <w:spacing w:after="70" w:line="270"/>
      </w:pPr>
      <w:r>
        <w:rPr>
          <w:rFonts w:ascii="Arial" w:cs="Arial" w:eastAsia="Arial" w:hAnsi="Arial"/>
          <w:sz w:val="21"/>
          <w:szCs w:val="21"/>
        </w:rPr>
        <w:t xml:space="preserve">It aggregates the other metrics, so every upstream error (the runway unit bug, the seasonal noise) was baked in, and confidence was not propagated.</w:t>
      </w:r>
    </w:p>
    <w:p>
      <w:pPr>
        <w:spacing w:after="50" w:before="80"/>
      </w:pPr>
      <w:r>
        <w:rPr>
          <w:rFonts w:ascii="Arial" w:cs="Arial" w:eastAsia="Arial" w:hAnsi="Arial"/>
          <w:b/>
          <w:bCs/>
          <w:caps/>
          <w:color w:val="2E5C8A"/>
          <w:sz w:val="19"/>
          <w:szCs w:val="19"/>
        </w:rPr>
        <w:t xml:space="preserve">How we accounted for them</w:t>
      </w:r>
    </w:p>
    <w:p>
      <w:pPr>
        <w:pStyle w:val="ListParagraph"/>
        <w:numPr>
          <w:ilvl w:val="0"/>
          <w:numId w:val="2"/>
        </w:numPr>
        <w:spacing w:after="70" w:line="270"/>
      </w:pPr>
      <w:r>
        <w:rPr>
          <w:rFonts w:ascii="Arial" w:cs="Arial" w:eastAsia="Arial" w:hAnsi="Arial"/>
          <w:sz w:val="21"/>
          <w:szCs w:val="21"/>
        </w:rPr>
        <w:t xml:space="preserve">We stopped reporting a false-precise decimal and now show a band plus the component bars.</w:t>
      </w:r>
    </w:p>
    <w:p>
      <w:pPr>
        <w:pStyle w:val="ListParagraph"/>
        <w:numPr>
          <w:ilvl w:val="0"/>
          <w:numId w:val="2"/>
        </w:numPr>
        <w:spacing w:after="70" w:line="270"/>
      </w:pPr>
      <w:r>
        <w:rPr>
          <w:rFonts w:ascii="Arial" w:cs="Arial" w:eastAsia="Arial" w:hAnsi="Arial"/>
          <w:sz w:val="21"/>
          <w:szCs w:val="21"/>
        </w:rPr>
        <w:t xml:space="preserve">We down-weight components whose inputs are low-confidence (runway from a messy revenue base, seasonal-dependent metrics).</w:t>
      </w:r>
    </w:p>
    <w:p>
      <w:pPr>
        <w:pStyle w:val="ListParagraph"/>
        <w:numPr>
          <w:ilvl w:val="0"/>
          <w:numId w:val="2"/>
        </w:numPr>
        <w:spacing w:after="70" w:line="270"/>
      </w:pPr>
      <w:r>
        <w:rPr>
          <w:rFonts w:ascii="Arial" w:cs="Arial" w:eastAsia="Arial" w:hAnsi="Arial"/>
          <w:sz w:val="21"/>
          <w:szCs w:val="21"/>
        </w:rPr>
        <w:t xml:space="preserve">We labelled it 'indicative, not predictive' until real outcome data (actual loan approvals/declines) lets us fit the weights with a regression.</w:t>
      </w:r>
    </w:p>
    <w:p>
      <w:pPr>
        <w:spacing w:after="3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23A3A" w:sz="18"/>
              <w:bottom w:val="none" w:color="FFFFFF" w:sz="0"/>
              <w:right w:val="none" w:color="FFFFFF" w:sz="0"/>
            </w:tcBorders>
            <w:shd w:fill="FBFBF8" w:val="clear"/>
            <w:tcMar>
              <w:top w:type="dxa" w:w="120"/>
              <w:left w:type="dxa" w:w="170"/>
              <w:bottom w:type="dxa" w:w="120"/>
              <w:right w:type="dxa" w:w="170"/>
            </w:tcMar>
          </w:tcPr>
          <w:p>
            <w:pPr>
              <w:spacing w:after="50"/>
            </w:pPr>
            <w:r>
              <w:rPr>
                <w:rFonts w:ascii="Arial" w:cs="Arial" w:eastAsia="Arial" w:hAnsi="Arial"/>
                <w:b/>
                <w:bCs/>
                <w:caps/>
                <w:color w:val="B23A3A"/>
                <w:sz w:val="18"/>
                <w:szCs w:val="18"/>
              </w:rPr>
              <w:t xml:space="preserve">HOW ACCURATE WE FEEL IT IS  —  </w:t>
            </w:r>
            <w:r>
              <w:rPr>
                <w:rFonts w:ascii="Arial" w:cs="Arial" w:eastAsia="Arial" w:hAnsi="Arial"/>
                <w:b/>
                <w:bCs/>
                <w:color w:val="B23A3A"/>
                <w:sz w:val="18"/>
                <w:szCs w:val="18"/>
              </w:rPr>
              <w:t xml:space="preserve">LOWEST — finish last, by design</w:t>
            </w:r>
          </w:p>
          <w:p>
            <w:pPr>
              <w:spacing w:line="274"/>
            </w:pPr>
            <w:r>
              <w:rPr>
                <w:rFonts w:ascii="Arial" w:cs="Arial" w:eastAsia="Arial" w:hAnsi="Arial"/>
                <w:color w:val="2B2B2B"/>
                <w:sz w:val="21"/>
                <w:szCs w:val="21"/>
              </w:rPr>
              <w:t xml:space="preserve">Honestly MEDIUM and, because it sits on top of every other metric, it can be no more reliable than its inputs. The revisions make it honest (band not decimal, confidence-weighted, labelled indicative). It is the last thing to finish, not the first, and that is the correct sequencing — it cannot be properly validated until there is real outcome data to fit against.</w:t>
            </w:r>
          </w:p>
        </w:tc>
      </w:tr>
    </w:tbl>
    <w:p>
      <w:pPr>
        <w:spacing w:after="40"/>
      </w:pPr>
      <w:r>
        <w:rPr>
          <w:rFonts w:ascii="Arial" w:cs="Arial" w:eastAsia="Arial" w:hAnsi="Arial"/>
          <w:sz w:val="2"/>
          <w:szCs w:val="2"/>
        </w:rPr>
        <w:t xml:space="preserve"/>
      </w:r>
    </w:p>
    <w:p>
      <w:pPr>
        <w:spacing w:after="50" w:before="80"/>
      </w:pPr>
      <w:r>
        <w:rPr>
          <w:rFonts w:ascii="Arial" w:cs="Arial" w:eastAsia="Arial" w:hAnsi="Arial"/>
          <w:b/>
          <w:bCs/>
          <w:caps/>
          <w:color w:val="9A6A1F"/>
          <w:sz w:val="19"/>
          <w:szCs w:val="19"/>
        </w:rPr>
        <w:t xml:space="preserve">What still needs attention &amp; detailing</w:t>
      </w:r>
    </w:p>
    <w:p>
      <w:pPr>
        <w:pStyle w:val="ListParagraph"/>
        <w:numPr>
          <w:ilvl w:val="0"/>
          <w:numId w:val="2"/>
        </w:numPr>
        <w:spacing w:after="70" w:line="270"/>
      </w:pPr>
      <w:r>
        <w:rPr>
          <w:rFonts w:ascii="Arial" w:cs="Arial" w:eastAsia="Arial" w:hAnsi="Arial"/>
          <w:sz w:val="21"/>
          <w:szCs w:val="21"/>
        </w:rPr>
        <w:t xml:space="preserve">It is blocked on real outcome data for weight-fitting; until then it stays indicative.</w:t>
      </w:r>
    </w:p>
    <w:p>
      <w:pPr>
        <w:pStyle w:val="ListParagraph"/>
        <w:numPr>
          <w:ilvl w:val="0"/>
          <w:numId w:val="2"/>
        </w:numPr>
        <w:spacing w:after="70" w:line="270"/>
      </w:pPr>
      <w:r>
        <w:rPr>
          <w:rFonts w:ascii="Arial" w:cs="Arial" w:eastAsia="Arial" w:hAnsi="Arial"/>
          <w:sz w:val="21"/>
          <w:szCs w:val="21"/>
        </w:rPr>
        <w:t xml:space="preserve">It inherits every upstream metric's accuracy, so its improvement is a downstream consequence of perfecting the others, not a separate workstream.</w:t>
      </w:r>
    </w:p>
    <w:p>
      <w:pPr>
        <w:pBdr>
          <w:bottom w:val="single" w:color="C9D4E0" w:sz="4" w:space="1"/>
        </w:pBdr>
        <w:spacing w:after="140" w:before="60"/>
      </w:pPr>
      <w:r>
        <w:rPr>
          <w:rFonts w:ascii="Arial" w:cs="Arial" w:eastAsia="Arial" w:hAnsi="Arial"/>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2B4A" w:val="clear"/>
            <w:tcMar>
              <w:top w:type="dxa" w:w="100"/>
              <w:left w:type="dxa" w:w="140"/>
              <w:bottom w:type="dxa" w:w="100"/>
              <w:right w:type="dxa" w:w="60"/>
            </w:tcMar>
          </w:tcPr>
          <w:p>
            <w:r>
              <w:rPr>
                <w:rFonts w:ascii="Arial" w:cs="Arial" w:eastAsia="Arial" w:hAnsi="Arial"/>
                <w:b/>
                <w:bCs/>
                <w:color w:val="FFFFFF"/>
                <w:sz w:val="26"/>
                <w:szCs w:val="26"/>
              </w:rPr>
              <w:t xml:space="preserve">CLOSE</w:t>
            </w:r>
          </w:p>
        </w:tc>
        <w:tc>
          <w:tcPr>
            <w:tcW w:type="dxa" w:w="7960"/>
            <w:tcBorders>
              <w:top w:val="none" w:color="FFFFFF" w:sz="0"/>
              <w:left w:val="none" w:color="FFFFFF" w:sz="0"/>
              <w:bottom w:val="none" w:color="FFFFFF" w:sz="0"/>
              <w:right w:val="none" w:color="FFFFFF" w:sz="0"/>
            </w:tcBorders>
            <w:shd w:fill="2E5C8A" w:val="clear"/>
            <w:tcMar>
              <w:top w:type="dxa" w:w="100"/>
              <w:left w:type="dxa" w:w="160"/>
              <w:bottom w:type="dxa" w:w="100"/>
              <w:right w:type="dxa" w:w="140"/>
            </w:tcMar>
          </w:tcPr>
          <w:p>
            <w:r>
              <w:rPr>
                <w:rFonts w:ascii="Arial" w:cs="Arial" w:eastAsia="Arial" w:hAnsi="Arial"/>
                <w:b/>
                <w:bCs/>
                <w:color w:val="FFFFFF"/>
                <w:sz w:val="24"/>
                <w:szCs w:val="24"/>
              </w:rPr>
              <w:t xml:space="preserve">Cross-Cutting Fixes &amp; Overall Posture</w:t>
            </w:r>
          </w:p>
        </w:tc>
      </w:tr>
    </w:tbl>
    <w:p>
      <w:pPr>
        <w:spacing w:after="80"/>
      </w:pPr>
      <w:r>
        <w:rPr>
          <w:rFonts w:ascii="Arial" w:cs="Arial" w:eastAsia="Arial" w:hAnsi="Arial"/>
          <w:sz w:val="2"/>
          <w:szCs w:val="2"/>
        </w:rPr>
        <w:t xml:space="preserve"/>
      </w:r>
    </w:p>
    <w:p>
      <w:pPr>
        <w:spacing w:after="50" w:before="80"/>
      </w:pPr>
      <w:r>
        <w:rPr>
          <w:rFonts w:ascii="Arial" w:cs="Arial" w:eastAsia="Arial" w:hAnsi="Arial"/>
          <w:b/>
          <w:bCs/>
          <w:caps/>
          <w:color w:val="2E5C8A"/>
          <w:sz w:val="19"/>
          <w:szCs w:val="19"/>
        </w:rPr>
        <w:t xml:space="preserve">Two fixes that span every z-score metric</w:t>
      </w:r>
    </w:p>
    <w:p>
      <w:pPr>
        <w:spacing w:after="110" w:line="274"/>
      </w:pPr>
      <w:r>
        <w:rPr>
          <w:rFonts w:ascii="Arial" w:cs="Arial" w:eastAsia="Arial" w:hAnsi="Arial"/>
          <w:sz w:val="21"/>
          <w:szCs w:val="21"/>
        </w:rPr>
        <w:t xml:space="preserve">Two fixes are cross-cutting and underpin every z-score metric. First, the alert-budget / false-discovery control: instead of testing every metric and vendor independently at a fixed cutoff (which makes some alarm trip almost every week), we cap and rank alerts so only the genuinely unusual few reach the owner, with a stricter cutoff as more things are watched at once. This is the main defence against alert fatigue and is the reason several metrics are 'ready to measure' before they are 'ready to send.'</w:t>
      </w:r>
    </w:p>
    <w:p>
      <w:pPr>
        <w:spacing w:after="110" w:line="274"/>
      </w:pPr>
      <w:r>
        <w:rPr>
          <w:rFonts w:ascii="Arial" w:cs="Arial" w:eastAsia="Arial" w:hAnsi="Arial"/>
          <w:sz w:val="21"/>
          <w:szCs w:val="21"/>
        </w:rPr>
        <w:t xml:space="preserve">Second, extreme readings are now treated as data-quality flags first, financial signals second. Beyond about 4 standard deviations, a reading is more likely a categorisation error or double-count than a true event, so we route it to 'verify this data' rather than declaring a crisis.</w:t>
      </w:r>
    </w:p>
    <w:p>
      <w:pPr>
        <w:spacing w:after="50" w:before="80"/>
      </w:pPr>
      <w:r>
        <w:rPr>
          <w:rFonts w:ascii="Arial" w:cs="Arial" w:eastAsia="Arial" w:hAnsi="Arial"/>
          <w:b/>
          <w:bCs/>
          <w:caps/>
          <w:color w:val="2E6B4F"/>
          <w:sz w:val="19"/>
          <w:szCs w:val="19"/>
        </w:rPr>
        <w:t xml:space="preserve">Overall posture of the revision</w:t>
      </w:r>
    </w:p>
    <w:p>
      <w:pPr>
        <w:spacing w:after="110" w:line="274"/>
      </w:pPr>
      <w:r>
        <w:rPr>
          <w:rFonts w:ascii="Arial" w:cs="Arial" w:eastAsia="Arial" w:hAnsi="Arial"/>
          <w:sz w:val="21"/>
          <w:szCs w:val="21"/>
        </w:rPr>
        <w:t xml:space="preserve">A theme worth stating plainly: across almost every metric, the arithmetic was already correct. What we changed was rarely the core formula and almost always one of three things — how uncertainty is reported (point estimate to band), how thresholds behave on small or skewed samples (sigma floors, t-cutoffs, practical-significance gates), or a unit/eligibility error that pushed a number in the dangerous direction (runway normalization, GST eligibility). So 'how accurate are we now' splits cleanly into two questions: the formulas are highly accurate; the numbers an owner sees are accurate to the degree their inputs are, which is why real-data testing is the next gate, not more desk work.</w:t>
      </w:r>
    </w:p>
    <w:p>
      <w:pPr>
        <w:spacing w:after="110" w:line="274"/>
      </w:pPr>
      <w:r>
        <w:rPr>
          <w:rFonts w:ascii="Arial" w:cs="Arial" w:eastAsia="Arial" w:hAnsi="Arial"/>
          <w:sz w:val="21"/>
          <w:szCs w:val="21"/>
        </w:rPr>
        <w:t xml:space="preserve">The dependency structure is the most important thing to hold in mind. M-10 (seasonal) feeds M-01, which feeds M-02, M-11, and M-12; and M-15 aggregates almost everything. This means effort spent perfecting M-11, M-12, or M-15 right now is largely wasted — they improve automatically when their foundations do. The highest-leverage work is M-10 and M-01.</w:t>
      </w:r>
    </w:p>
    <w:p>
      <w:pPr>
        <w:spacing w:after="110" w:line="274"/>
      </w:pPr>
      <w:r>
        <w:rPr>
          <w:rFonts w:ascii="Arial" w:cs="Arial" w:eastAsia="Arial" w:hAnsi="Arial"/>
          <w:sz w:val="21"/>
          <w:szCs w:val="21"/>
        </w:rPr>
        <w:t xml:space="preserve">Finally, the residual errors that remain are now, by design, pointed in the safe direction: GST over-reserves rather than under-reserves, payroll coverage tests the worst-realistic balance, project float assumes lateness, break-even communicates a range. A tool that errs toward caution is the correct posture for small-business survival decisions.</w:t>
      </w:r>
    </w:p>
    <w:p>
      <w:pPr>
        <w:spacing w:before="160"/>
      </w:pPr>
      <w:r>
        <w:rPr>
          <w:rFonts w:ascii="Arial" w:cs="Arial" w:eastAsia="Arial" w:hAnsi="Arial"/>
          <w:i/>
          <w:iCs/>
          <w:color w:val="333333"/>
          <w:sz w:val="21"/>
          <w:szCs w:val="21"/>
        </w:rPr>
        <w:t xml:space="preserve">Bottom line: the formulas were already strong; the revisions made the numbers honest about their uncertainty and pushed every residual error toward caution. The next gate is real-data testing, not more derivation.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space="4"/>
      </w:pBdr>
      <w:tabs>
        <w:tab w:val="right" w:pos="9026"/>
      </w:tabs>
    </w:pPr>
    <w:r>
      <w:rPr>
        <w:rFonts w:ascii="Arial" w:cs="Arial" w:eastAsia="Arial" w:hAnsi="Arial"/>
        <w:color w:val="7A8699"/>
        <w:sz w:val="16"/>
        <w:szCs w:val="16"/>
      </w:rPr>
      <w:t xml:space="preserve">Pulse  ·  Metric Review  ·  2026</w:t>
    </w:r>
    <w:r>
      <w:rPr>
        <w:rFonts w:ascii="Arial" w:cs="Arial" w:eastAsia="Arial" w:hAnsi="Arial"/>
        <w:color w:val="7A869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tabs>
        <w:tab w:val="right" w:pos="9026"/>
      </w:tabs>
    </w:pPr>
    <w:r>
      <w:rPr>
        <w:rFonts w:ascii="Arial" w:cs="Arial" w:eastAsia="Arial" w:hAnsi="Arial"/>
        <w:b/>
        <w:bCs/>
        <w:color w:val="1A2B4A"/>
        <w:sz w:val="17"/>
        <w:szCs w:val="17"/>
      </w:rPr>
      <w:t xml:space="preserve">Pulse</w:t>
    </w:r>
    <w:r>
      <w:rPr>
        <w:rFonts w:ascii="Arial" w:cs="Arial" w:eastAsia="Arial" w:hAnsi="Arial"/>
        <w:color w:val="7A8699"/>
        <w:sz w:val="17"/>
        <w:szCs w:val="17"/>
      </w:rPr>
      <w:t xml:space="preserve">   |   Metric Status Review — Post-Revision   |   Internal</w:t>
    </w:r>
    <w:r>
      <w:rPr>
        <w:rFonts w:ascii="Arial" w:cs="Arial" w:eastAsia="Arial" w:hAnsi="Arial"/>
        <w:color w:val="7A8699"/>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2026-05-25T06:06:08.070Z</dcterms:created>
  <dcterms:modified xsi:type="dcterms:W3CDTF">2026-05-25T06:06:08.082Z</dcterms:modified>
</cp:coreProperties>
</file>

<file path=docProps/custom.xml><?xml version="1.0" encoding="utf-8"?>
<Properties xmlns="http://schemas.openxmlformats.org/officeDocument/2006/custom-properties" xmlns:vt="http://schemas.openxmlformats.org/officeDocument/2006/docPropsVTypes"/>
</file>