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INTERNSHIP REPORT</w:t>
      </w:r>
    </w:p>
    <w:p>
      <w:pPr>
        <w:pStyle w:val="Title"/>
        <w:jc w:val="center"/>
      </w:pPr>
      <w:r>
        <w:t>Data Collection, Preparation, and Cleaning Plan</w:t>
      </w:r>
    </w:p>
    <w:p>
      <w:pPr>
        <w:jc w:val="center"/>
      </w:pPr>
      <w:r>
        <w:rPr>
          <w:i/>
        </w:rPr>
        <w:t>Agriculture &amp; Agribusiness Data Science Project</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rPr>
                <w:b/>
                <w:sz w:val="17"/>
              </w:rPr>
              <w:t>Report Detail</w:t>
            </w:r>
          </w:p>
        </w:tc>
        <w:tc>
          <w:tcPr>
            <w:tcW w:type="dxa" w:w="4968"/>
            <w:shd w:fill="DCEAF7"/>
          </w:tcPr>
          <w:p>
            <w:r>
              <w:rPr>
                <w:b/>
                <w:sz w:val="17"/>
              </w:rPr>
              <w:t>Information</w:t>
            </w:r>
          </w:p>
        </w:tc>
      </w:tr>
      <w:tr>
        <w:tc>
          <w:tcPr>
            <w:tcW w:type="dxa" w:w="4968"/>
            <w:vAlign w:val="center"/>
          </w:tcPr>
          <w:p>
            <w:r>
              <w:rPr>
                <w:rFonts w:ascii="Aptos" w:hAnsi="Aptos"/>
                <w:sz w:val="16"/>
              </w:rPr>
              <w:t>Intern</w:t>
            </w:r>
          </w:p>
        </w:tc>
        <w:tc>
          <w:tcPr>
            <w:tcW w:type="dxa" w:w="4968"/>
            <w:vAlign w:val="center"/>
          </w:tcPr>
          <w:p>
            <w:r>
              <w:rPr>
                <w:rFonts w:ascii="Aptos" w:hAnsi="Aptos"/>
                <w:sz w:val="16"/>
              </w:rPr>
              <w:t>Tushar Mehar</w:t>
            </w:r>
          </w:p>
        </w:tc>
      </w:tr>
      <w:tr>
        <w:tc>
          <w:tcPr>
            <w:tcW w:type="dxa" w:w="4968"/>
            <w:vAlign w:val="center"/>
          </w:tcPr>
          <w:p>
            <w:r>
              <w:rPr>
                <w:rFonts w:ascii="Aptos" w:hAnsi="Aptos"/>
                <w:sz w:val="16"/>
              </w:rPr>
              <w:t>Program</w:t>
            </w:r>
          </w:p>
        </w:tc>
        <w:tc>
          <w:tcPr>
            <w:tcW w:type="dxa" w:w="4968"/>
            <w:vAlign w:val="center"/>
          </w:tcPr>
          <w:p>
            <w:r>
              <w:rPr>
                <w:rFonts w:ascii="Aptos" w:hAnsi="Aptos"/>
                <w:sz w:val="16"/>
              </w:rPr>
              <w:t>Python / Data Science Internship</w:t>
            </w:r>
          </w:p>
        </w:tc>
      </w:tr>
      <w:tr>
        <w:tc>
          <w:tcPr>
            <w:tcW w:type="dxa" w:w="4968"/>
            <w:vAlign w:val="center"/>
          </w:tcPr>
          <w:p>
            <w:r>
              <w:rPr>
                <w:rFonts w:ascii="Aptos" w:hAnsi="Aptos"/>
                <w:sz w:val="16"/>
              </w:rPr>
              <w:t>Week</w:t>
            </w:r>
          </w:p>
        </w:tc>
        <w:tc>
          <w:tcPr>
            <w:tcW w:type="dxa" w:w="4968"/>
            <w:vAlign w:val="center"/>
          </w:tcPr>
          <w:p>
            <w:r>
              <w:rPr>
                <w:rFonts w:ascii="Aptos" w:hAnsi="Aptos"/>
                <w:sz w:val="16"/>
              </w:rPr>
              <w:t>Week 2</w:t>
            </w:r>
          </w:p>
        </w:tc>
      </w:tr>
      <w:tr>
        <w:tc>
          <w:tcPr>
            <w:tcW w:type="dxa" w:w="4968"/>
            <w:vAlign w:val="center"/>
          </w:tcPr>
          <w:p>
            <w:r>
              <w:rPr>
                <w:rFonts w:ascii="Aptos" w:hAnsi="Aptos"/>
                <w:sz w:val="16"/>
              </w:rPr>
              <w:t>Domain</w:t>
            </w:r>
          </w:p>
        </w:tc>
        <w:tc>
          <w:tcPr>
            <w:tcW w:type="dxa" w:w="4968"/>
            <w:vAlign w:val="center"/>
          </w:tcPr>
          <w:p>
            <w:r>
              <w:rPr>
                <w:rFonts w:ascii="Aptos" w:hAnsi="Aptos"/>
                <w:sz w:val="16"/>
              </w:rPr>
              <w:t>Agriculture and Agribusiness</w:t>
            </w:r>
          </w:p>
        </w:tc>
      </w:tr>
      <w:tr>
        <w:tc>
          <w:tcPr>
            <w:tcW w:type="dxa" w:w="4968"/>
            <w:vAlign w:val="center"/>
          </w:tcPr>
          <w:p>
            <w:r>
              <w:rPr>
                <w:rFonts w:ascii="Aptos" w:hAnsi="Aptos"/>
                <w:sz w:val="16"/>
              </w:rPr>
              <w:t>Purpose</w:t>
            </w:r>
          </w:p>
        </w:tc>
        <w:tc>
          <w:tcPr>
            <w:tcW w:type="dxa" w:w="4968"/>
            <w:vAlign w:val="center"/>
          </w:tcPr>
          <w:p>
            <w:r>
              <w:rPr>
                <w:rFonts w:ascii="Aptos" w:hAnsi="Aptos"/>
                <w:sz w:val="16"/>
              </w:rPr>
              <w:t>Repeatable plan for public-data collection, cleaning, and preprocessing</w:t>
            </w:r>
          </w:p>
        </w:tc>
      </w:tr>
    </w:tbl>
    <w:p/>
    <w:p>
      <w:r>
        <w:br w:type="page"/>
      </w:r>
    </w:p>
    <w:p>
      <w:pPr>
        <w:pStyle w:val="Heading1"/>
      </w:pPr>
      <w:r>
        <w:t>1. Executive Summary</w:t>
      </w:r>
    </w:p>
    <w:p>
      <w:r>
        <w:t>This report defines a reproducible process for collecting, validating, cleaning, and preparing public agricultural data for later exploratory analysis and modeling. The project focuses on India where suitable data is available, with an initial emphasis on crop production, harvested area, yield, agricultural prices, and selected economic indicators. The plan prioritizes official sources and transparent documentation.</w:t>
      </w:r>
    </w:p>
    <w:p>
      <w:r>
        <w:t>Three primary source groups are proposed: FAOSTAT for internationally comparable agriculture statistics; World Bank Open Data for country-level agricultural and economic indicators; and the Government of India's Open Government Data Platform for relevant India-specific datasets. Data will be downloaded from official portals or documented APIs where available. Web scraping is not the default method; it will be considered only where permitted and where no suitable official download/API exists.</w:t>
      </w:r>
    </w:p>
    <w:p>
      <w:r>
        <w:t>The pipeline will preserve raw files unchanged, profile data, standardize fields and units, resolve duplicates, assess missingness, validate ranges, create derived features, and export a documented analysis-ready dataset. Each transformation will be recorded in a data dictionary and cleaning log. Proposed tools include Python, Pandas, NumPy, Requests, Matplotlib/Seaborn, Jupyter or Spyder, and Git/GitHub.</w:t>
      </w:r>
    </w:p>
    <w:p>
      <w:pPr>
        <w:pStyle w:val="Heading1"/>
      </w:pPr>
      <w:r>
        <w:t>2. Project Context and Objectives</w:t>
      </w:r>
    </w:p>
    <w:p>
      <w:r>
        <w:t>Agricultural datasets often differ in coverage, geographic level, reporting period, units, crop naming conventions, and revision schedules. Combining them without careful preparation can create misleading comparisons. A repeatable data pipeline is therefore necessary before estimating trends or training predictive models.</w:t>
      </w:r>
    </w:p>
    <w:p>
      <w:pPr>
        <w:pStyle w:val="ListBullet"/>
      </w:pPr>
      <w:r>
        <w:t>Identify at least three credible public agricultural/economic data sources and assess suitability.</w:t>
      </w:r>
    </w:p>
    <w:p>
      <w:pPr>
        <w:pStyle w:val="ListBullet"/>
      </w:pPr>
      <w:r>
        <w:t>Collect data through documented downloads or APIs and record provenance and access dates.</w:t>
      </w:r>
    </w:p>
    <w:p>
      <w:pPr>
        <w:pStyle w:val="ListBullet"/>
      </w:pPr>
      <w:r>
        <w:t>Develop a systematic workflow for profiling, cleaning, standardization, and validation.</w:t>
      </w:r>
    </w:p>
    <w:p>
      <w:pPr>
        <w:pStyle w:val="ListBullet"/>
      </w:pPr>
      <w:r>
        <w:t>Prepare consistent data tables for crop-wise and year-wise exploratory analysis.</w:t>
      </w:r>
    </w:p>
    <w:p>
      <w:pPr>
        <w:pStyle w:val="ListBullet"/>
      </w:pPr>
      <w:r>
        <w:t>Maintain reproducible scripts, metadata, and quality checks so another analyst can repeat the process.</w:t>
      </w:r>
    </w:p>
    <w:p>
      <w:pPr>
        <w:pStyle w:val="Heading1"/>
      </w:pPr>
      <w:r>
        <w:t>3. Data Sources and Dataset Selection Criteria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7"/>
          </w:tcPr>
          <w:p>
            <w:r>
              <w:rPr>
                <w:b/>
                <w:sz w:val="17"/>
              </w:rPr>
              <w:t>Source</w:t>
            </w:r>
          </w:p>
        </w:tc>
        <w:tc>
          <w:tcPr>
            <w:tcW w:type="dxa" w:w="2484"/>
            <w:shd w:fill="DCEAF7"/>
          </w:tcPr>
          <w:p>
            <w:r>
              <w:rPr>
                <w:b/>
                <w:sz w:val="17"/>
              </w:rPr>
              <w:t>Potential data</w:t>
            </w:r>
          </w:p>
        </w:tc>
        <w:tc>
          <w:tcPr>
            <w:tcW w:type="dxa" w:w="2484"/>
            <w:shd w:fill="DCEAF7"/>
          </w:tcPr>
          <w:p>
            <w:r>
              <w:rPr>
                <w:b/>
                <w:sz w:val="17"/>
              </w:rPr>
              <w:t>Relevance</w:t>
            </w:r>
          </w:p>
        </w:tc>
        <w:tc>
          <w:tcPr>
            <w:tcW w:type="dxa" w:w="2484"/>
            <w:shd w:fill="DCEAF7"/>
          </w:tcPr>
          <w:p>
            <w:r>
              <w:rPr>
                <w:b/>
                <w:sz w:val="17"/>
              </w:rPr>
              <w:t>Collection approach / limitations</w:t>
            </w:r>
          </w:p>
        </w:tc>
      </w:tr>
      <w:tr>
        <w:tc>
          <w:tcPr>
            <w:tcW w:type="dxa" w:w="2484"/>
            <w:vAlign w:val="center"/>
          </w:tcPr>
          <w:p>
            <w:r>
              <w:rPr>
                <w:rFonts w:ascii="Aptos" w:hAnsi="Aptos"/>
                <w:sz w:val="16"/>
              </w:rPr>
              <w:t>FAOSTAT – FAO</w:t>
            </w:r>
          </w:p>
        </w:tc>
        <w:tc>
          <w:tcPr>
            <w:tcW w:type="dxa" w:w="2484"/>
            <w:vAlign w:val="center"/>
          </w:tcPr>
          <w:p>
            <w:r>
              <w:rPr>
                <w:rFonts w:ascii="Aptos" w:hAnsi="Aptos"/>
                <w:sz w:val="16"/>
              </w:rPr>
              <w:t>Production quantities, harvested area, land use, fertilizer and producer-price statistics where available.</w:t>
            </w:r>
          </w:p>
        </w:tc>
        <w:tc>
          <w:tcPr>
            <w:tcW w:type="dxa" w:w="2484"/>
            <w:vAlign w:val="center"/>
          </w:tcPr>
          <w:p>
            <w:r>
              <w:rPr>
                <w:rFonts w:ascii="Aptos" w:hAnsi="Aptos"/>
                <w:sz w:val="16"/>
              </w:rPr>
              <w:t>Core source for comparable agricultural trends.</w:t>
            </w:r>
          </w:p>
        </w:tc>
        <w:tc>
          <w:tcPr>
            <w:tcW w:type="dxa" w:w="2484"/>
            <w:vAlign w:val="center"/>
          </w:tcPr>
          <w:p>
            <w:r>
              <w:rPr>
                <w:rFonts w:ascii="Aptos" w:hAnsi="Aptos"/>
                <w:sz w:val="16"/>
              </w:rPr>
              <w:t>Use official downloads; check metadata, units, coverage, revisions.</w:t>
            </w:r>
          </w:p>
        </w:tc>
      </w:tr>
      <w:tr>
        <w:tc>
          <w:tcPr>
            <w:tcW w:type="dxa" w:w="2484"/>
            <w:vAlign w:val="center"/>
          </w:tcPr>
          <w:p>
            <w:r>
              <w:rPr>
                <w:rFonts w:ascii="Aptos" w:hAnsi="Aptos"/>
                <w:sz w:val="16"/>
              </w:rPr>
              <w:t>World Bank Open Data / Indicators API</w:t>
            </w:r>
          </w:p>
        </w:tc>
        <w:tc>
          <w:tcPr>
            <w:tcW w:type="dxa" w:w="2484"/>
            <w:vAlign w:val="center"/>
          </w:tcPr>
          <w:p>
            <w:r>
              <w:rPr>
                <w:rFonts w:ascii="Aptos" w:hAnsi="Aptos"/>
                <w:sz w:val="16"/>
              </w:rPr>
              <w:t>Agriculture value added, agricultural land, cereal yield and selected macroeconomic indicators.</w:t>
            </w:r>
          </w:p>
        </w:tc>
        <w:tc>
          <w:tcPr>
            <w:tcW w:type="dxa" w:w="2484"/>
            <w:vAlign w:val="center"/>
          </w:tcPr>
          <w:p>
            <w:r>
              <w:rPr>
                <w:rFonts w:ascii="Aptos" w:hAnsi="Aptos"/>
                <w:sz w:val="16"/>
              </w:rPr>
              <w:t>Adds country-level economic context and cross-checks selected indicators.</w:t>
            </w:r>
          </w:p>
        </w:tc>
        <w:tc>
          <w:tcPr>
            <w:tcW w:type="dxa" w:w="2484"/>
            <w:vAlign w:val="center"/>
          </w:tcPr>
          <w:p>
            <w:r>
              <w:rPr>
                <w:rFonts w:ascii="Aptos" w:hAnsi="Aptos"/>
                <w:sz w:val="16"/>
              </w:rPr>
              <w:t>Use official downloads/API; update frequency and missing years may vary.</w:t>
            </w:r>
          </w:p>
        </w:tc>
      </w:tr>
      <w:tr>
        <w:tc>
          <w:tcPr>
            <w:tcW w:type="dxa" w:w="2484"/>
            <w:vAlign w:val="center"/>
          </w:tcPr>
          <w:p>
            <w:r>
              <w:rPr>
                <w:rFonts w:ascii="Aptos" w:hAnsi="Aptos"/>
                <w:sz w:val="16"/>
              </w:rPr>
              <w:t>India Open Government Data Platform</w:t>
            </w:r>
          </w:p>
        </w:tc>
        <w:tc>
          <w:tcPr>
            <w:tcW w:type="dxa" w:w="2484"/>
            <w:vAlign w:val="center"/>
          </w:tcPr>
          <w:p>
            <w:r>
              <w:rPr>
                <w:rFonts w:ascii="Aptos" w:hAnsi="Aptos"/>
                <w:sz w:val="16"/>
              </w:rPr>
              <w:t>Potential crop, agricultural production, district/state, market or input datasets.</w:t>
            </w:r>
          </w:p>
        </w:tc>
        <w:tc>
          <w:tcPr>
            <w:tcW w:type="dxa" w:w="2484"/>
            <w:vAlign w:val="center"/>
          </w:tcPr>
          <w:p>
            <w:r>
              <w:rPr>
                <w:rFonts w:ascii="Aptos" w:hAnsi="Aptos"/>
                <w:sz w:val="16"/>
              </w:rPr>
              <w:t>Adds India-specific or sub-national detail.</w:t>
            </w:r>
          </w:p>
        </w:tc>
        <w:tc>
          <w:tcPr>
            <w:tcW w:type="dxa" w:w="2484"/>
            <w:vAlign w:val="center"/>
          </w:tcPr>
          <w:p>
            <w:r>
              <w:rPr>
                <w:rFonts w:ascii="Aptos" w:hAnsi="Aptos"/>
                <w:sz w:val="16"/>
              </w:rPr>
              <w:t>Check publisher, license, metadata, geographic level and period.</w:t>
            </w:r>
          </w:p>
        </w:tc>
      </w:tr>
      <w:tr>
        <w:tc>
          <w:tcPr>
            <w:tcW w:type="dxa" w:w="2484"/>
            <w:vAlign w:val="center"/>
          </w:tcPr>
          <w:p>
            <w:r>
              <w:rPr>
                <w:rFonts w:ascii="Aptos" w:hAnsi="Aptos"/>
                <w:sz w:val="16"/>
              </w:rPr>
              <w:t>India Directorate of Economics and Statistics</w:t>
            </w:r>
          </w:p>
        </w:tc>
        <w:tc>
          <w:tcPr>
            <w:tcW w:type="dxa" w:w="2484"/>
            <w:vAlign w:val="center"/>
          </w:tcPr>
          <w:p>
            <w:r>
              <w:rPr>
                <w:rFonts w:ascii="Aptos" w:hAnsi="Aptos"/>
                <w:sz w:val="16"/>
              </w:rPr>
              <w:t>Official agricultural statistics and reports where available.</w:t>
            </w:r>
          </w:p>
        </w:tc>
        <w:tc>
          <w:tcPr>
            <w:tcW w:type="dxa" w:w="2484"/>
            <w:vAlign w:val="center"/>
          </w:tcPr>
          <w:p>
            <w:r>
              <w:rPr>
                <w:rFonts w:ascii="Aptos" w:hAnsi="Aptos"/>
                <w:sz w:val="16"/>
              </w:rPr>
              <w:t>Useful for cross-checking national/state statistics.</w:t>
            </w:r>
          </w:p>
        </w:tc>
        <w:tc>
          <w:tcPr>
            <w:tcW w:type="dxa" w:w="2484"/>
            <w:vAlign w:val="center"/>
          </w:tcPr>
          <w:p>
            <w:r>
              <w:rPr>
                <w:rFonts w:ascii="Aptos" w:hAnsi="Aptos"/>
                <w:sz w:val="16"/>
              </w:rPr>
              <w:t>Prefer official downloadable tables; record page/table for manual extraction.</w:t>
            </w:r>
          </w:p>
        </w:tc>
      </w:tr>
    </w:tbl>
    <w:p/>
    <w:p>
      <w:pPr>
        <w:pStyle w:val="Heading2"/>
      </w:pPr>
      <w:r>
        <w:t>3.1 Dataset Selection Checklist</w:t>
      </w:r>
    </w:p>
    <w:p>
      <w:pPr>
        <w:pStyle w:val="ListBullet"/>
      </w:pPr>
      <w:r>
        <w:t>Relevance to the business question and intended analysis.</w:t>
      </w:r>
    </w:p>
    <w:p>
      <w:pPr>
        <w:pStyle w:val="ListBullet"/>
      </w:pPr>
      <w:r>
        <w:t>Recognized publisher and clear provenance.</w:t>
      </w:r>
    </w:p>
    <w:p>
      <w:pPr>
        <w:pStyle w:val="ListBullet"/>
      </w:pPr>
      <w:r>
        <w:t>Useful time period, geographic coverage, and crop/commodity detail.</w:t>
      </w:r>
    </w:p>
    <w:p>
      <w:pPr>
        <w:pStyle w:val="ListBullet"/>
      </w:pPr>
      <w:r>
        <w:t>Documented definitions, units, frequency, and metadata.</w:t>
      </w:r>
    </w:p>
    <w:p>
      <w:pPr>
        <w:pStyle w:val="ListBullet"/>
      </w:pPr>
      <w:r>
        <w:t>Completeness sufficient for the planned analysis.</w:t>
      </w:r>
    </w:p>
    <w:p>
      <w:pPr>
        <w:pStyle w:val="ListBullet"/>
      </w:pPr>
      <w:r>
        <w:t>Consistent category labels and geographic identifiers.</w:t>
      </w:r>
    </w:p>
    <w:p>
      <w:pPr>
        <w:pStyle w:val="ListBullet"/>
      </w:pPr>
      <w:r>
        <w:t>Permitted access and acceptable license/usage terms.</w:t>
      </w:r>
    </w:p>
    <w:p>
      <w:pPr>
        <w:pStyle w:val="ListBullet"/>
      </w:pPr>
      <w:r>
        <w:t>Freshness, reproducibility, and ability to retrieve or version the dataset again.</w:t>
      </w:r>
    </w:p>
    <w:p>
      <w:pPr>
        <w:pStyle w:val="Heading1"/>
      </w:pPr>
      <w:r>
        <w:t>4. Data Collection Strategy</w:t>
      </w:r>
    </w:p>
    <w:p>
      <w:pPr>
        <w:pStyle w:val="ListNumber"/>
      </w:pPr>
      <w:r>
        <w:t>Define initial scope: India, annual observations where possible, and a manageable selection of crops and indicators.</w:t>
      </w:r>
    </w:p>
    <w:p>
      <w:pPr>
        <w:pStyle w:val="ListNumber"/>
      </w:pPr>
      <w:r>
        <w:t>Create a source register recording publisher, dataset title, URL, retrieval date, time period, geography, units, license, and file name.</w:t>
      </w:r>
    </w:p>
    <w:p>
      <w:pPr>
        <w:pStyle w:val="ListNumber"/>
      </w:pPr>
      <w:r>
        <w:t>Download original CSV/XLSX files from official portals and save them unchanged in data/raw/.</w:t>
      </w:r>
    </w:p>
    <w:p>
      <w:pPr>
        <w:pStyle w:val="ListNumber"/>
      </w:pPr>
      <w:r>
        <w:t>For API sources, document the endpoint, indicator/dataset ID, parameters, date range, response format, pagination, and retrieval date; save the response and retrieval script.</w:t>
      </w:r>
    </w:p>
    <w:p>
      <w:pPr>
        <w:pStyle w:val="ListNumber"/>
      </w:pPr>
      <w:r>
        <w:t>Use manual extraction only when no suitable download/API exists; record the report title, page/table, units, and verification checks.</w:t>
      </w:r>
    </w:p>
    <w:p>
      <w:pPr>
        <w:pStyle w:val="ListNumber"/>
      </w:pPr>
      <w:r>
        <w:t>Use web scraping only if permitted by terms and access rules, no suitable official download/API exists, and reasonable request rates can be maintained. Never bypass authentication or technical restrictions.</w:t>
      </w:r>
    </w:p>
    <w:p>
      <w:pPr>
        <w:pStyle w:val="ListNumber"/>
      </w:pPr>
      <w:r>
        <w:t>Check file type, size, row count, expected columns, and whether the response is valid data rather than an error page.</w:t>
      </w:r>
    </w:p>
    <w:p>
      <w:pPr>
        <w:pStyle w:val="ListNumber"/>
      </w:pPr>
      <w:r>
        <w:t>Create a short README for each source describing content and known limitations.</w:t>
      </w:r>
    </w:p>
    <w:p>
      <w:pPr>
        <w:pStyle w:val="Heading2"/>
      </w:pPr>
      <w:r>
        <w:t>4.1 Proposed Project Folder Structure</w:t>
      </w:r>
    </w:p>
    <w:p>
      <w:r>
        <w:rPr>
          <w:rFonts w:ascii="Consolas" w:hAnsi="Consolas"/>
        </w:rPr>
        <w:t>agriculture-data-science-internship/</w:t>
        <w:br/>
        <w:t>├── Week-1/  (strategy report)</w:t>
        <w:br/>
        <w:t>├── Week-2/  (this plan and source register)</w:t>
        <w:br/>
        <w:t>├── data/</w:t>
        <w:br/>
        <w:t>│   ├── raw/        (original files; do not edit)</w:t>
        <w:br/>
        <w:t>│   ├── interim/    (temporary transformations)</w:t>
        <w:br/>
        <w:t>│   └── processed/  (validated data)</w:t>
        <w:br/>
        <w:t>├── notebooks/      (exploration and quality checks)</w:t>
        <w:br/>
        <w:t>├── src/            (collection and cleaning scripts)</w:t>
        <w:br/>
        <w:t>├── docs/           (data dictionary and cleaning log)</w:t>
        <w:br/>
        <w:t>└── README.md</w:t>
      </w:r>
    </w:p>
    <w:p>
      <w:r>
        <w:t>For large files or datasets restricted by source terms, check repository policy before committing data. If files are too large or unsuitable for GitHub, provide download instructions and source links instead.</w:t>
      </w:r>
    </w:p>
    <w:p>
      <w:pPr>
        <w:pStyle w:val="Heading1"/>
      </w:pPr>
      <w:r>
        <w:t>5. Data Cleaning and Quality-Control Process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7"/>
          </w:tcPr>
          <w:p>
            <w:r>
              <w:rPr>
                <w:b/>
                <w:sz w:val="17"/>
              </w:rPr>
              <w:t>Step</w:t>
            </w:r>
          </w:p>
        </w:tc>
        <w:tc>
          <w:tcPr>
            <w:tcW w:type="dxa" w:w="3312"/>
            <w:shd w:fill="DCEAF7"/>
          </w:tcPr>
          <w:p>
            <w:r>
              <w:rPr>
                <w:b/>
                <w:sz w:val="17"/>
              </w:rPr>
              <w:t>Procedure</w:t>
            </w:r>
          </w:p>
        </w:tc>
        <w:tc>
          <w:tcPr>
            <w:tcW w:type="dxa" w:w="3312"/>
            <w:shd w:fill="DCEAF7"/>
          </w:tcPr>
          <w:p>
            <w:r>
              <w:rPr>
                <w:b/>
                <w:sz w:val="17"/>
              </w:rPr>
              <w:t>Output / check</w:t>
            </w:r>
          </w:p>
        </w:tc>
      </w:tr>
      <w:tr>
        <w:tc>
          <w:tcPr>
            <w:tcW w:type="dxa" w:w="3312"/>
            <w:vAlign w:val="center"/>
          </w:tcPr>
          <w:p>
            <w:r>
              <w:rPr>
                <w:rFonts w:ascii="Aptos" w:hAnsi="Aptos"/>
                <w:sz w:val="16"/>
              </w:rPr>
              <w:t>1. Inventory/profile</w:t>
            </w:r>
          </w:p>
        </w:tc>
        <w:tc>
          <w:tcPr>
            <w:tcW w:type="dxa" w:w="3312"/>
            <w:vAlign w:val="center"/>
          </w:tcPr>
          <w:p>
            <w:r>
              <w:rPr>
                <w:rFonts w:ascii="Aptos" w:hAnsi="Aptos"/>
                <w:sz w:val="16"/>
              </w:rPr>
              <w:t>List files, sheets, columns, row counts, types, date coverage, and missingness.</w:t>
            </w:r>
          </w:p>
        </w:tc>
        <w:tc>
          <w:tcPr>
            <w:tcW w:type="dxa" w:w="3312"/>
            <w:vAlign w:val="center"/>
          </w:tcPr>
          <w:p>
            <w:r>
              <w:rPr>
                <w:rFonts w:ascii="Aptos" w:hAnsi="Aptos"/>
                <w:sz w:val="16"/>
              </w:rPr>
              <w:t>Source inventory and profile.</w:t>
            </w:r>
          </w:p>
        </w:tc>
      </w:tr>
      <w:tr>
        <w:tc>
          <w:tcPr>
            <w:tcW w:type="dxa" w:w="3312"/>
            <w:vAlign w:val="center"/>
          </w:tcPr>
          <w:p>
            <w:r>
              <w:rPr>
                <w:rFonts w:ascii="Aptos" w:hAnsi="Aptos"/>
                <w:sz w:val="16"/>
              </w:rPr>
              <w:t>2. Standardize schema</w:t>
            </w:r>
          </w:p>
        </w:tc>
        <w:tc>
          <w:tcPr>
            <w:tcW w:type="dxa" w:w="3312"/>
            <w:vAlign w:val="center"/>
          </w:tcPr>
          <w:p>
            <w:r>
              <w:rPr>
                <w:rFonts w:ascii="Aptos" w:hAnsi="Aptos"/>
                <w:sz w:val="16"/>
              </w:rPr>
              <w:t>Use consistent snake_case names; trim whitespace; normalize text encoding and dates.</w:t>
            </w:r>
          </w:p>
        </w:tc>
        <w:tc>
          <w:tcPr>
            <w:tcW w:type="dxa" w:w="3312"/>
            <w:vAlign w:val="center"/>
          </w:tcPr>
          <w:p>
            <w:r>
              <w:rPr>
                <w:rFonts w:ascii="Aptos" w:hAnsi="Aptos"/>
                <w:sz w:val="16"/>
              </w:rPr>
              <w:t>Consistent names and types.</w:t>
            </w:r>
          </w:p>
        </w:tc>
      </w:tr>
      <w:tr>
        <w:tc>
          <w:tcPr>
            <w:tcW w:type="dxa" w:w="3312"/>
            <w:vAlign w:val="center"/>
          </w:tcPr>
          <w:p>
            <w:r>
              <w:rPr>
                <w:rFonts w:ascii="Aptos" w:hAnsi="Aptos"/>
                <w:sz w:val="16"/>
              </w:rPr>
              <w:t>3. Detect duplicates</w:t>
            </w:r>
          </w:p>
        </w:tc>
        <w:tc>
          <w:tcPr>
            <w:tcW w:type="dxa" w:w="3312"/>
            <w:vAlign w:val="center"/>
          </w:tcPr>
          <w:p>
            <w:r>
              <w:rPr>
                <w:rFonts w:ascii="Aptos" w:hAnsi="Aptos"/>
                <w:sz w:val="16"/>
              </w:rPr>
              <w:t>Check exact duplicate rows and expected keys such as year + geography + crop + measure.</w:t>
            </w:r>
          </w:p>
        </w:tc>
        <w:tc>
          <w:tcPr>
            <w:tcW w:type="dxa" w:w="3312"/>
            <w:vAlign w:val="center"/>
          </w:tcPr>
          <w:p>
            <w:r>
              <w:rPr>
                <w:rFonts w:ascii="Aptos" w:hAnsi="Aptos"/>
                <w:sz w:val="16"/>
              </w:rPr>
              <w:t>Duplicate report; remove only confirmed duplicates.</w:t>
            </w:r>
          </w:p>
        </w:tc>
      </w:tr>
      <w:tr>
        <w:tc>
          <w:tcPr>
            <w:tcW w:type="dxa" w:w="3312"/>
            <w:vAlign w:val="center"/>
          </w:tcPr>
          <w:p>
            <w:r>
              <w:rPr>
                <w:rFonts w:ascii="Aptos" w:hAnsi="Aptos"/>
                <w:sz w:val="16"/>
              </w:rPr>
              <w:t>4. Handle missing values</w:t>
            </w:r>
          </w:p>
        </w:tc>
        <w:tc>
          <w:tcPr>
            <w:tcW w:type="dxa" w:w="3312"/>
            <w:vAlign w:val="center"/>
          </w:tcPr>
          <w:p>
            <w:r>
              <w:rPr>
                <w:rFonts w:ascii="Aptos" w:hAnsi="Aptos"/>
                <w:sz w:val="16"/>
              </w:rPr>
              <w:t>Measure missingness by variable, year, crop, and geography; distinguish unknown, unreported, not applicable, and zero.</w:t>
            </w:r>
          </w:p>
        </w:tc>
        <w:tc>
          <w:tcPr>
            <w:tcW w:type="dxa" w:w="3312"/>
            <w:vAlign w:val="center"/>
          </w:tcPr>
          <w:p>
            <w:r>
              <w:rPr>
                <w:rFonts w:ascii="Aptos" w:hAnsi="Aptos"/>
                <w:sz w:val="16"/>
              </w:rPr>
              <w:t>Documented missing-data decisions.</w:t>
            </w:r>
          </w:p>
        </w:tc>
      </w:tr>
      <w:tr>
        <w:tc>
          <w:tcPr>
            <w:tcW w:type="dxa" w:w="3312"/>
            <w:vAlign w:val="center"/>
          </w:tcPr>
          <w:p>
            <w:r>
              <w:rPr>
                <w:rFonts w:ascii="Aptos" w:hAnsi="Aptos"/>
                <w:sz w:val="16"/>
              </w:rPr>
              <w:t>5. Correct types/units</w:t>
            </w:r>
          </w:p>
        </w:tc>
        <w:tc>
          <w:tcPr>
            <w:tcW w:type="dxa" w:w="3312"/>
            <w:vAlign w:val="center"/>
          </w:tcPr>
          <w:p>
            <w:r>
              <w:rPr>
                <w:rFonts w:ascii="Aptos" w:hAnsi="Aptos"/>
                <w:sz w:val="16"/>
              </w:rPr>
              <w:t>Convert years and numeric measures; inspect decimal separators and unit labels; document conversions.</w:t>
            </w:r>
          </w:p>
        </w:tc>
        <w:tc>
          <w:tcPr>
            <w:tcW w:type="dxa" w:w="3312"/>
            <w:vAlign w:val="center"/>
          </w:tcPr>
          <w:p>
            <w:r>
              <w:rPr>
                <w:rFonts w:ascii="Aptos" w:hAnsi="Aptos"/>
                <w:sz w:val="16"/>
              </w:rPr>
              <w:t>Comparable measures and explicit units.</w:t>
            </w:r>
          </w:p>
        </w:tc>
      </w:tr>
      <w:tr>
        <w:tc>
          <w:tcPr>
            <w:tcW w:type="dxa" w:w="3312"/>
            <w:vAlign w:val="center"/>
          </w:tcPr>
          <w:p>
            <w:r>
              <w:rPr>
                <w:rFonts w:ascii="Aptos" w:hAnsi="Aptos"/>
                <w:sz w:val="16"/>
              </w:rPr>
              <w:t>6. Normalize categories</w:t>
            </w:r>
          </w:p>
        </w:tc>
        <w:tc>
          <w:tcPr>
            <w:tcW w:type="dxa" w:w="3312"/>
            <w:vAlign w:val="center"/>
          </w:tcPr>
          <w:p>
            <w:r>
              <w:rPr>
                <w:rFonts w:ascii="Aptos" w:hAnsi="Aptos"/>
                <w:sz w:val="16"/>
              </w:rPr>
              <w:t>Map crop/geography labels using an approved mapping table; preserve original labels.</w:t>
            </w:r>
          </w:p>
        </w:tc>
        <w:tc>
          <w:tcPr>
            <w:tcW w:type="dxa" w:w="3312"/>
            <w:vAlign w:val="center"/>
          </w:tcPr>
          <w:p>
            <w:r>
              <w:rPr>
                <w:rFonts w:ascii="Aptos" w:hAnsi="Aptos"/>
                <w:sz w:val="16"/>
              </w:rPr>
              <w:t>Controlled values and mapping file.</w:t>
            </w:r>
          </w:p>
        </w:tc>
      </w:tr>
      <w:tr>
        <w:tc>
          <w:tcPr>
            <w:tcW w:type="dxa" w:w="3312"/>
            <w:vAlign w:val="center"/>
          </w:tcPr>
          <w:p>
            <w:r>
              <w:rPr>
                <w:rFonts w:ascii="Aptos" w:hAnsi="Aptos"/>
                <w:sz w:val="16"/>
              </w:rPr>
              <w:t>7. Range/logic checks</w:t>
            </w:r>
          </w:p>
        </w:tc>
        <w:tc>
          <w:tcPr>
            <w:tcW w:type="dxa" w:w="3312"/>
            <w:vAlign w:val="center"/>
          </w:tcPr>
          <w:p>
            <w:r>
              <w:rPr>
                <w:rFonts w:ascii="Aptos" w:hAnsi="Aptos"/>
                <w:sz w:val="16"/>
              </w:rPr>
              <w:t>Flag invalid years, negative values where impossible, zero denominators, inconsistent totals, and extreme jumps.</w:t>
            </w:r>
          </w:p>
        </w:tc>
        <w:tc>
          <w:tcPr>
            <w:tcW w:type="dxa" w:w="3312"/>
            <w:vAlign w:val="center"/>
          </w:tcPr>
          <w:p>
            <w:r>
              <w:rPr>
                <w:rFonts w:ascii="Aptos" w:hAnsi="Aptos"/>
                <w:sz w:val="16"/>
              </w:rPr>
              <w:t>Exception table for review.</w:t>
            </w:r>
          </w:p>
        </w:tc>
      </w:tr>
      <w:tr>
        <w:tc>
          <w:tcPr>
            <w:tcW w:type="dxa" w:w="3312"/>
            <w:vAlign w:val="center"/>
          </w:tcPr>
          <w:p>
            <w:r>
              <w:rPr>
                <w:rFonts w:ascii="Aptos" w:hAnsi="Aptos"/>
                <w:sz w:val="16"/>
              </w:rPr>
              <w:t>8. Review outliers</w:t>
            </w:r>
          </w:p>
        </w:tc>
        <w:tc>
          <w:tcPr>
            <w:tcW w:type="dxa" w:w="3312"/>
            <w:vAlign w:val="center"/>
          </w:tcPr>
          <w:p>
            <w:r>
              <w:rPr>
                <w:rFonts w:ascii="Aptos" w:hAnsi="Aptos"/>
                <w:sz w:val="16"/>
              </w:rPr>
              <w:t>Use summaries and plots; verify against source notes before changing values.</w:t>
            </w:r>
          </w:p>
        </w:tc>
        <w:tc>
          <w:tcPr>
            <w:tcW w:type="dxa" w:w="3312"/>
            <w:vAlign w:val="center"/>
          </w:tcPr>
          <w:p>
            <w:r>
              <w:rPr>
                <w:rFonts w:ascii="Aptos" w:hAnsi="Aptos"/>
                <w:sz w:val="16"/>
              </w:rPr>
              <w:t>Outlier review log.</w:t>
            </w:r>
          </w:p>
        </w:tc>
      </w:tr>
      <w:tr>
        <w:tc>
          <w:tcPr>
            <w:tcW w:type="dxa" w:w="3312"/>
            <w:vAlign w:val="center"/>
          </w:tcPr>
          <w:p>
            <w:r>
              <w:rPr>
                <w:rFonts w:ascii="Aptos" w:hAnsi="Aptos"/>
                <w:sz w:val="16"/>
              </w:rPr>
              <w:t>9. Join sources</w:t>
            </w:r>
          </w:p>
        </w:tc>
        <w:tc>
          <w:tcPr>
            <w:tcW w:type="dxa" w:w="3312"/>
            <w:vAlign w:val="center"/>
          </w:tcPr>
          <w:p>
            <w:r>
              <w:rPr>
                <w:rFonts w:ascii="Aptos" w:hAnsi="Aptos"/>
                <w:sz w:val="16"/>
              </w:rPr>
              <w:t>Join only on compatible keys and time/geography; inspect join cardinality and unmatched rows.</w:t>
            </w:r>
          </w:p>
        </w:tc>
        <w:tc>
          <w:tcPr>
            <w:tcW w:type="dxa" w:w="3312"/>
            <w:vAlign w:val="center"/>
          </w:tcPr>
          <w:p>
            <w:r>
              <w:rPr>
                <w:rFonts w:ascii="Aptos" w:hAnsi="Aptos"/>
                <w:sz w:val="16"/>
              </w:rPr>
              <w:t>Join diagnostics.</w:t>
            </w:r>
          </w:p>
        </w:tc>
      </w:tr>
      <w:tr>
        <w:tc>
          <w:tcPr>
            <w:tcW w:type="dxa" w:w="3312"/>
            <w:vAlign w:val="center"/>
          </w:tcPr>
          <w:p>
            <w:r>
              <w:rPr>
                <w:rFonts w:ascii="Aptos" w:hAnsi="Aptos"/>
                <w:sz w:val="16"/>
              </w:rPr>
              <w:t>10. Final validation</w:t>
            </w:r>
          </w:p>
        </w:tc>
        <w:tc>
          <w:tcPr>
            <w:tcW w:type="dxa" w:w="3312"/>
            <w:vAlign w:val="center"/>
          </w:tcPr>
          <w:p>
            <w:r>
              <w:rPr>
                <w:rFonts w:ascii="Aptos" w:hAnsi="Aptos"/>
                <w:sz w:val="16"/>
              </w:rPr>
              <w:t>Re-run assertions, compare row counts, confirm units and required fields.</w:t>
            </w:r>
          </w:p>
        </w:tc>
        <w:tc>
          <w:tcPr>
            <w:tcW w:type="dxa" w:w="3312"/>
            <w:vAlign w:val="center"/>
          </w:tcPr>
          <w:p>
            <w:r>
              <w:rPr>
                <w:rFonts w:ascii="Aptos" w:hAnsi="Aptos"/>
                <w:sz w:val="16"/>
              </w:rPr>
              <w:t>Processed dataset and quality summary.</w:t>
            </w:r>
          </w:p>
        </w:tc>
      </w:tr>
    </w:tbl>
    <w:p/>
    <w:p>
      <w:pPr>
        <w:pStyle w:val="Heading2"/>
      </w:pPr>
      <w:r>
        <w:t>5.1 Missing-Value Policy</w:t>
      </w:r>
    </w:p>
    <w:p>
      <w:pPr>
        <w:pStyle w:val="ListBullet"/>
      </w:pPr>
      <w:r>
        <w:t>Quantify missingness before deciding how to handle it.</w:t>
      </w:r>
    </w:p>
    <w:p>
      <w:pPr>
        <w:pStyle w:val="ListBullet"/>
      </w:pPr>
      <w:r>
        <w:t>Do not replace missing production or yield with zero unless source metadata explicitly defines it as zero.</w:t>
      </w:r>
    </w:p>
    <w:p>
      <w:pPr>
        <w:pStyle w:val="ListBullet"/>
      </w:pPr>
      <w:r>
        <w:t>For charts, show gaps or state the rule used to handle missing periods.</w:t>
      </w:r>
    </w:p>
    <w:p>
      <w:pPr>
        <w:pStyle w:val="ListBullet"/>
      </w:pPr>
      <w:r>
        <w:t>If imputation is justified for modeling, fit the imputer on training data only and compare with a baseline.</w:t>
      </w:r>
    </w:p>
    <w:p>
      <w:pPr>
        <w:pStyle w:val="ListBullet"/>
      </w:pPr>
      <w:r>
        <w:t>Keep an indicator flag for imputed values and document the method and assumptions.</w:t>
      </w:r>
    </w:p>
    <w:p>
      <w:pPr>
        <w:pStyle w:val="Heading2"/>
      </w:pPr>
      <w:r>
        <w:t>5.2 Validation Rules</w:t>
      </w:r>
    </w:p>
    <w:p>
      <w:pPr>
        <w:pStyle w:val="ListBullet"/>
      </w:pPr>
      <w:r>
        <w:t>Years must fall within the documented source coverage.</w:t>
      </w:r>
    </w:p>
    <w:p>
      <w:pPr>
        <w:pStyle w:val="ListBullet"/>
      </w:pPr>
      <w:r>
        <w:t>Production, area, and prices should be non-negative when their definitions require it; flag questionable values for review.</w:t>
      </w:r>
    </w:p>
    <w:p>
      <w:pPr>
        <w:pStyle w:val="ListBullet"/>
      </w:pPr>
      <w:r>
        <w:t>Calculate yield = production / harvested area only when units and definitions align and area is greater than zero.</w:t>
      </w:r>
    </w:p>
    <w:p>
      <w:pPr>
        <w:pStyle w:val="ListBullet"/>
      </w:pPr>
      <w:r>
        <w:t>Country/state/district/crop identifiers must match a reference list or be marked unmatched.</w:t>
      </w:r>
    </w:p>
    <w:p>
      <w:pPr>
        <w:pStyle w:val="ListBullet"/>
      </w:pPr>
      <w:r>
        <w:t>Compare aggregates with source totals where available, allowing for rounding and definitional differences.</w:t>
      </w:r>
    </w:p>
    <w:p>
      <w:pPr>
        <w:pStyle w:val="ListBullet"/>
      </w:pPr>
      <w:r>
        <w:t>Check merges for unexpected many-to-many joins, duplicate keys, and lost records.</w:t>
      </w:r>
    </w:p>
    <w:p>
      <w:pPr>
        <w:pStyle w:val="Heading1"/>
      </w:pPr>
      <w:r>
        <w:t>6. Data Transformation and Pre-processing</w:t>
      </w:r>
    </w:p>
    <w:p>
      <w:pPr>
        <w:pStyle w:val="Heading2"/>
      </w:pPr>
      <w:r>
        <w:t>6.1 Derived Features and Aggregation</w:t>
      </w:r>
    </w:p>
    <w:p>
      <w:pPr>
        <w:pStyle w:val="ListBullet"/>
      </w:pPr>
      <w:r>
        <w:t>Create annual summaries by crop and geography after confirming comparable units.</w:t>
      </w:r>
    </w:p>
    <w:p>
      <w:pPr>
        <w:pStyle w:val="ListBullet"/>
      </w:pPr>
      <w:r>
        <w:t>Calculate year-over-year change only when the prior-period value is valid and non-zero.</w:t>
      </w:r>
    </w:p>
    <w:p>
      <w:pPr>
        <w:pStyle w:val="ListBullet"/>
      </w:pPr>
      <w:r>
        <w:t>Calculate compound annual growth rate only for valid endpoints and a clearly stated period.</w:t>
      </w:r>
    </w:p>
    <w:p>
      <w:pPr>
        <w:pStyle w:val="ListBullet"/>
      </w:pPr>
      <w:r>
        <w:t>Derive yield from production and harvested area only where definitions and units permit.</w:t>
      </w:r>
    </w:p>
    <w:p>
      <w:pPr>
        <w:pStyle w:val="ListBullet"/>
      </w:pPr>
      <w:r>
        <w:t>Aggregate comparable records only; do not sum percentages, rates, or unlike measures as quantities.</w:t>
      </w:r>
    </w:p>
    <w:p>
      <w:pPr>
        <w:pStyle w:val="ListBullet"/>
      </w:pPr>
      <w:r>
        <w:t>Retain source measures alongside derived features and document definitions.</w:t>
      </w:r>
    </w:p>
    <w:p>
      <w:pPr>
        <w:pStyle w:val="Heading2"/>
      </w:pPr>
      <w:r>
        <w:t>6.2 Encoding and Scaling</w:t>
      </w:r>
    </w:p>
    <w:p>
      <w:r>
        <w:t>Apply encoding and scaling only when required by the analysis or model. One-hot encoding may suit categorical fields such as crop and state for regression or many machine-learning models. Tree-based models often do not require scaling, while linear, distance-based, and regularized models may benefit from standardization or robust scaling. Fit encoders and scalers on training data only to avoid data leakage. For forecasting, use chronological train/validation splits instead of random shuffling.</w:t>
      </w:r>
    </w:p>
    <w:p>
      <w:pPr>
        <w:pStyle w:val="Heading1"/>
      </w:pPr>
      <w:r>
        <w:t>7. Illustrative Pseudocode</w:t>
      </w:r>
    </w:p>
    <w:p>
      <w:r>
        <w:rPr>
          <w:rFonts w:ascii="Consolas" w:hAnsi="Consolas"/>
          <w:sz w:val="18"/>
        </w:rPr>
        <w:t>for each official source:</w:t>
        <w:br/>
        <w:t xml:space="preserve">    record source metadata and retrieval date</w:t>
        <w:br/>
        <w:t xml:space="preserve">    download file or call documented API</w:t>
        <w:br/>
        <w:t xml:space="preserve">    save original response in data/raw/</w:t>
        <w:br/>
        <w:br/>
        <w:t>load raw files</w:t>
        <w:br/>
        <w:t>inspect columns, data types, row counts, missingness</w:t>
        <w:br/>
        <w:t>standardize names and data types</w:t>
        <w:br/>
        <w:t>check duplicates and expected key uniqueness</w:t>
        <w:br/>
        <w:t>validate units, labels, years, and value ranges</w:t>
        <w:br/>
        <w:t>log suspicious records and investigate using source metadata</w:t>
        <w:br/>
        <w:t>join datasets using documented compatible keys</w:t>
        <w:br/>
        <w:t>create derived measures and aggregations</w:t>
        <w:br/>
        <w:t>run quality checks and compare totals</w:t>
        <w:br/>
        <w:t>save cleaned dataset to data/processed/</w:t>
        <w:br/>
        <w:t>save data dictionary, cleaning log, and quality report</w:t>
      </w:r>
    </w:p>
    <w:p>
      <w:pPr>
        <w:pStyle w:val="Heading1"/>
      </w:pPr>
      <w:r>
        <w:t>8. Tools and Software</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rPr>
                <w:b/>
                <w:sz w:val="17"/>
              </w:rPr>
              <w:t>Tool</w:t>
            </w:r>
          </w:p>
        </w:tc>
        <w:tc>
          <w:tcPr>
            <w:tcW w:type="dxa" w:w="4968"/>
            <w:shd w:fill="DCEAF7"/>
          </w:tcPr>
          <w:p>
            <w:r>
              <w:rPr>
                <w:b/>
                <w:sz w:val="17"/>
              </w:rPr>
              <w:t>Purpose</w:t>
            </w:r>
          </w:p>
        </w:tc>
      </w:tr>
      <w:tr>
        <w:tc>
          <w:tcPr>
            <w:tcW w:type="dxa" w:w="4968"/>
            <w:vAlign w:val="center"/>
          </w:tcPr>
          <w:p>
            <w:r>
              <w:rPr>
                <w:rFonts w:ascii="Aptos" w:hAnsi="Aptos"/>
                <w:sz w:val="16"/>
              </w:rPr>
              <w:t>Python</w:t>
            </w:r>
          </w:p>
        </w:tc>
        <w:tc>
          <w:tcPr>
            <w:tcW w:type="dxa" w:w="4968"/>
            <w:vAlign w:val="center"/>
          </w:tcPr>
          <w:p>
            <w:r>
              <w:rPr>
                <w:rFonts w:ascii="Aptos" w:hAnsi="Aptos"/>
                <w:sz w:val="16"/>
              </w:rPr>
              <w:t>Main language for repeatable collection and cleaning.</w:t>
            </w:r>
          </w:p>
        </w:tc>
      </w:tr>
      <w:tr>
        <w:tc>
          <w:tcPr>
            <w:tcW w:type="dxa" w:w="4968"/>
            <w:vAlign w:val="center"/>
          </w:tcPr>
          <w:p>
            <w:r>
              <w:rPr>
                <w:rFonts w:ascii="Aptos" w:hAnsi="Aptos"/>
                <w:sz w:val="16"/>
              </w:rPr>
              <w:t>Pandas</w:t>
            </w:r>
          </w:p>
        </w:tc>
        <w:tc>
          <w:tcPr>
            <w:tcW w:type="dxa" w:w="4968"/>
            <w:vAlign w:val="center"/>
          </w:tcPr>
          <w:p>
            <w:r>
              <w:rPr>
                <w:rFonts w:ascii="Aptos" w:hAnsi="Aptos"/>
                <w:sz w:val="16"/>
              </w:rPr>
              <w:t>Read CSV/Excel, joins, missing-value checks, grouping and transformations.</w:t>
            </w:r>
          </w:p>
        </w:tc>
      </w:tr>
      <w:tr>
        <w:tc>
          <w:tcPr>
            <w:tcW w:type="dxa" w:w="4968"/>
            <w:vAlign w:val="center"/>
          </w:tcPr>
          <w:p>
            <w:r>
              <w:rPr>
                <w:rFonts w:ascii="Aptos" w:hAnsi="Aptos"/>
                <w:sz w:val="16"/>
              </w:rPr>
              <w:t>NumPy</w:t>
            </w:r>
          </w:p>
        </w:tc>
        <w:tc>
          <w:tcPr>
            <w:tcW w:type="dxa" w:w="4968"/>
            <w:vAlign w:val="center"/>
          </w:tcPr>
          <w:p>
            <w:r>
              <w:rPr>
                <w:rFonts w:ascii="Aptos" w:hAnsi="Aptos"/>
                <w:sz w:val="16"/>
              </w:rPr>
              <w:t>Numerical calculations and safe handling of invalid arithmetic.</w:t>
            </w:r>
          </w:p>
        </w:tc>
      </w:tr>
      <w:tr>
        <w:tc>
          <w:tcPr>
            <w:tcW w:type="dxa" w:w="4968"/>
            <w:vAlign w:val="center"/>
          </w:tcPr>
          <w:p>
            <w:r>
              <w:rPr>
                <w:rFonts w:ascii="Aptos" w:hAnsi="Aptos"/>
                <w:sz w:val="16"/>
              </w:rPr>
              <w:t>Requests</w:t>
            </w:r>
          </w:p>
        </w:tc>
        <w:tc>
          <w:tcPr>
            <w:tcW w:type="dxa" w:w="4968"/>
            <w:vAlign w:val="center"/>
          </w:tcPr>
          <w:p>
            <w:r>
              <w:rPr>
                <w:rFonts w:ascii="Aptos" w:hAnsi="Aptos"/>
                <w:sz w:val="16"/>
              </w:rPr>
              <w:t>HTTP requests to documented public APIs.</w:t>
            </w:r>
          </w:p>
        </w:tc>
      </w:tr>
      <w:tr>
        <w:tc>
          <w:tcPr>
            <w:tcW w:type="dxa" w:w="4968"/>
            <w:vAlign w:val="center"/>
          </w:tcPr>
          <w:p>
            <w:r>
              <w:rPr>
                <w:rFonts w:ascii="Aptos" w:hAnsi="Aptos"/>
                <w:sz w:val="16"/>
              </w:rPr>
              <w:t>Matplotlib / Seaborn</w:t>
            </w:r>
          </w:p>
        </w:tc>
        <w:tc>
          <w:tcPr>
            <w:tcW w:type="dxa" w:w="4968"/>
            <w:vAlign w:val="center"/>
          </w:tcPr>
          <w:p>
            <w:r>
              <w:rPr>
                <w:rFonts w:ascii="Aptos" w:hAnsi="Aptos"/>
                <w:sz w:val="16"/>
              </w:rPr>
              <w:t>Missingness, distributions, trend charts and outlier inspection.</w:t>
            </w:r>
          </w:p>
        </w:tc>
      </w:tr>
      <w:tr>
        <w:tc>
          <w:tcPr>
            <w:tcW w:type="dxa" w:w="4968"/>
            <w:vAlign w:val="center"/>
          </w:tcPr>
          <w:p>
            <w:r>
              <w:rPr>
                <w:rFonts w:ascii="Aptos" w:hAnsi="Aptos"/>
                <w:sz w:val="16"/>
              </w:rPr>
              <w:t>Jupyter Notebook / Spyder</w:t>
            </w:r>
          </w:p>
        </w:tc>
        <w:tc>
          <w:tcPr>
            <w:tcW w:type="dxa" w:w="4968"/>
            <w:vAlign w:val="center"/>
          </w:tcPr>
          <w:p>
            <w:r>
              <w:rPr>
                <w:rFonts w:ascii="Aptos" w:hAnsi="Aptos"/>
                <w:sz w:val="16"/>
              </w:rPr>
              <w:t>Interactive profiling and code execution.</w:t>
            </w:r>
          </w:p>
        </w:tc>
      </w:tr>
      <w:tr>
        <w:tc>
          <w:tcPr>
            <w:tcW w:type="dxa" w:w="4968"/>
            <w:vAlign w:val="center"/>
          </w:tcPr>
          <w:p>
            <w:r>
              <w:rPr>
                <w:rFonts w:ascii="Aptos" w:hAnsi="Aptos"/>
                <w:sz w:val="16"/>
              </w:rPr>
              <w:t>Git / GitHub</w:t>
            </w:r>
          </w:p>
        </w:tc>
        <w:tc>
          <w:tcPr>
            <w:tcW w:type="dxa" w:w="4968"/>
            <w:vAlign w:val="center"/>
          </w:tcPr>
          <w:p>
            <w:r>
              <w:rPr>
                <w:rFonts w:ascii="Aptos" w:hAnsi="Aptos"/>
                <w:sz w:val="16"/>
              </w:rPr>
              <w:t>Version control for scripts, reports, mappings and documentation.</w:t>
            </w:r>
          </w:p>
        </w:tc>
      </w:tr>
      <w:tr>
        <w:tc>
          <w:tcPr>
            <w:tcW w:type="dxa" w:w="4968"/>
            <w:vAlign w:val="center"/>
          </w:tcPr>
          <w:p>
            <w:r>
              <w:rPr>
                <w:rFonts w:ascii="Aptos" w:hAnsi="Aptos"/>
                <w:sz w:val="16"/>
              </w:rPr>
              <w:t>Excel / LibreOffice Calc</w:t>
            </w:r>
          </w:p>
        </w:tc>
        <w:tc>
          <w:tcPr>
            <w:tcW w:type="dxa" w:w="4968"/>
            <w:vAlign w:val="center"/>
          </w:tcPr>
          <w:p>
            <w:r>
              <w:rPr>
                <w:rFonts w:ascii="Aptos" w:hAnsi="Aptos"/>
                <w:sz w:val="16"/>
              </w:rPr>
              <w:t>Manual spot checks for small tables, not the main pipeline.</w:t>
            </w:r>
          </w:p>
        </w:tc>
      </w:tr>
    </w:tbl>
    <w:p/>
    <w:p>
      <w:pPr>
        <w:pStyle w:val="Heading1"/>
      </w:pPr>
      <w:r>
        <w:t>9. Proposed Timeline (30–35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7"/>
          </w:tcPr>
          <w:p>
            <w:r>
              <w:rPr>
                <w:b/>
                <w:sz w:val="17"/>
              </w:rPr>
              <w:t>Activity</w:t>
            </w:r>
          </w:p>
        </w:tc>
        <w:tc>
          <w:tcPr>
            <w:tcW w:type="dxa" w:w="3312"/>
            <w:shd w:fill="DCEAF7"/>
          </w:tcPr>
          <w:p>
            <w:r>
              <w:rPr>
                <w:b/>
                <w:sz w:val="17"/>
              </w:rPr>
              <w:t>Hours</w:t>
            </w:r>
          </w:p>
        </w:tc>
        <w:tc>
          <w:tcPr>
            <w:tcW w:type="dxa" w:w="3312"/>
            <w:shd w:fill="DCEAF7"/>
          </w:tcPr>
          <w:p>
            <w:r>
              <w:rPr>
                <w:b/>
                <w:sz w:val="17"/>
              </w:rPr>
              <w:t>Deliverable</w:t>
            </w:r>
          </w:p>
        </w:tc>
      </w:tr>
      <w:tr>
        <w:tc>
          <w:tcPr>
            <w:tcW w:type="dxa" w:w="3312"/>
            <w:vAlign w:val="center"/>
          </w:tcPr>
          <w:p>
            <w:r>
              <w:rPr>
                <w:rFonts w:ascii="Aptos" w:hAnsi="Aptos"/>
                <w:sz w:val="16"/>
              </w:rPr>
              <w:t>Source research and selection criteria</w:t>
            </w:r>
          </w:p>
        </w:tc>
        <w:tc>
          <w:tcPr>
            <w:tcW w:type="dxa" w:w="3312"/>
            <w:vAlign w:val="center"/>
          </w:tcPr>
          <w:p>
            <w:r>
              <w:rPr>
                <w:rFonts w:ascii="Aptos" w:hAnsi="Aptos"/>
                <w:sz w:val="16"/>
              </w:rPr>
              <w:t>5</w:t>
            </w:r>
          </w:p>
        </w:tc>
        <w:tc>
          <w:tcPr>
            <w:tcW w:type="dxa" w:w="3312"/>
            <w:vAlign w:val="center"/>
          </w:tcPr>
          <w:p>
            <w:r>
              <w:rPr>
                <w:rFonts w:ascii="Aptos" w:hAnsi="Aptos"/>
                <w:sz w:val="16"/>
              </w:rPr>
              <w:t>Source register and shortlist</w:t>
            </w:r>
          </w:p>
        </w:tc>
      </w:tr>
      <w:tr>
        <w:tc>
          <w:tcPr>
            <w:tcW w:type="dxa" w:w="3312"/>
            <w:vAlign w:val="center"/>
          </w:tcPr>
          <w:p>
            <w:r>
              <w:rPr>
                <w:rFonts w:ascii="Aptos" w:hAnsi="Aptos"/>
                <w:sz w:val="16"/>
              </w:rPr>
              <w:t>Download/API extraction and metadata</w:t>
            </w:r>
          </w:p>
        </w:tc>
        <w:tc>
          <w:tcPr>
            <w:tcW w:type="dxa" w:w="3312"/>
            <w:vAlign w:val="center"/>
          </w:tcPr>
          <w:p>
            <w:r>
              <w:rPr>
                <w:rFonts w:ascii="Aptos" w:hAnsi="Aptos"/>
                <w:sz w:val="16"/>
              </w:rPr>
              <w:t>6</w:t>
            </w:r>
          </w:p>
        </w:tc>
        <w:tc>
          <w:tcPr>
            <w:tcW w:type="dxa" w:w="3312"/>
            <w:vAlign w:val="center"/>
          </w:tcPr>
          <w:p>
            <w:r>
              <w:rPr>
                <w:rFonts w:ascii="Aptos" w:hAnsi="Aptos"/>
                <w:sz w:val="16"/>
              </w:rPr>
              <w:t>Raw files and collection notes</w:t>
            </w:r>
          </w:p>
        </w:tc>
      </w:tr>
      <w:tr>
        <w:tc>
          <w:tcPr>
            <w:tcW w:type="dxa" w:w="3312"/>
            <w:vAlign w:val="center"/>
          </w:tcPr>
          <w:p>
            <w:r>
              <w:rPr>
                <w:rFonts w:ascii="Aptos" w:hAnsi="Aptos"/>
                <w:sz w:val="16"/>
              </w:rPr>
              <w:t>Profiling and quality assessment</w:t>
            </w:r>
          </w:p>
        </w:tc>
        <w:tc>
          <w:tcPr>
            <w:tcW w:type="dxa" w:w="3312"/>
            <w:vAlign w:val="center"/>
          </w:tcPr>
          <w:p>
            <w:r>
              <w:rPr>
                <w:rFonts w:ascii="Aptos" w:hAnsi="Aptos"/>
                <w:sz w:val="16"/>
              </w:rPr>
              <w:t>4</w:t>
            </w:r>
          </w:p>
        </w:tc>
        <w:tc>
          <w:tcPr>
            <w:tcW w:type="dxa" w:w="3312"/>
            <w:vAlign w:val="center"/>
          </w:tcPr>
          <w:p>
            <w:r>
              <w:rPr>
                <w:rFonts w:ascii="Aptos" w:hAnsi="Aptos"/>
                <w:sz w:val="16"/>
              </w:rPr>
              <w:t>Initial quality report</w:t>
            </w:r>
          </w:p>
        </w:tc>
      </w:tr>
      <w:tr>
        <w:tc>
          <w:tcPr>
            <w:tcW w:type="dxa" w:w="3312"/>
            <w:vAlign w:val="center"/>
          </w:tcPr>
          <w:p>
            <w:r>
              <w:rPr>
                <w:rFonts w:ascii="Aptos" w:hAnsi="Aptos"/>
                <w:sz w:val="16"/>
              </w:rPr>
              <w:t>Cleaning, standardization and validation</w:t>
            </w:r>
          </w:p>
        </w:tc>
        <w:tc>
          <w:tcPr>
            <w:tcW w:type="dxa" w:w="3312"/>
            <w:vAlign w:val="center"/>
          </w:tcPr>
          <w:p>
            <w:r>
              <w:rPr>
                <w:rFonts w:ascii="Aptos" w:hAnsi="Aptos"/>
                <w:sz w:val="16"/>
              </w:rPr>
              <w:t>8</w:t>
            </w:r>
          </w:p>
        </w:tc>
        <w:tc>
          <w:tcPr>
            <w:tcW w:type="dxa" w:w="3312"/>
            <w:vAlign w:val="center"/>
          </w:tcPr>
          <w:p>
            <w:r>
              <w:rPr>
                <w:rFonts w:ascii="Aptos" w:hAnsi="Aptos"/>
                <w:sz w:val="16"/>
              </w:rPr>
              <w:t>Cleaning script and exception log</w:t>
            </w:r>
          </w:p>
        </w:tc>
      </w:tr>
      <w:tr>
        <w:tc>
          <w:tcPr>
            <w:tcW w:type="dxa" w:w="3312"/>
            <w:vAlign w:val="center"/>
          </w:tcPr>
          <w:p>
            <w:r>
              <w:rPr>
                <w:rFonts w:ascii="Aptos" w:hAnsi="Aptos"/>
                <w:sz w:val="16"/>
              </w:rPr>
              <w:t>Transformation and aggregation</w:t>
            </w:r>
          </w:p>
        </w:tc>
        <w:tc>
          <w:tcPr>
            <w:tcW w:type="dxa" w:w="3312"/>
            <w:vAlign w:val="center"/>
          </w:tcPr>
          <w:p>
            <w:r>
              <w:rPr>
                <w:rFonts w:ascii="Aptos" w:hAnsi="Aptos"/>
                <w:sz w:val="16"/>
              </w:rPr>
              <w:t>5</w:t>
            </w:r>
          </w:p>
        </w:tc>
        <w:tc>
          <w:tcPr>
            <w:tcW w:type="dxa" w:w="3312"/>
            <w:vAlign w:val="center"/>
          </w:tcPr>
          <w:p>
            <w:r>
              <w:rPr>
                <w:rFonts w:ascii="Aptos" w:hAnsi="Aptos"/>
                <w:sz w:val="16"/>
              </w:rPr>
              <w:t>Processed data and data dictionary</w:t>
            </w:r>
          </w:p>
        </w:tc>
      </w:tr>
      <w:tr>
        <w:tc>
          <w:tcPr>
            <w:tcW w:type="dxa" w:w="3312"/>
            <w:vAlign w:val="center"/>
          </w:tcPr>
          <w:p>
            <w:r>
              <w:rPr>
                <w:rFonts w:ascii="Aptos" w:hAnsi="Aptos"/>
                <w:sz w:val="16"/>
              </w:rPr>
              <w:t>Testing, documentation and review</w:t>
            </w:r>
          </w:p>
        </w:tc>
        <w:tc>
          <w:tcPr>
            <w:tcW w:type="dxa" w:w="3312"/>
            <w:vAlign w:val="center"/>
          </w:tcPr>
          <w:p>
            <w:r>
              <w:rPr>
                <w:rFonts w:ascii="Aptos" w:hAnsi="Aptos"/>
                <w:sz w:val="16"/>
              </w:rPr>
              <w:t>4</w:t>
            </w:r>
          </w:p>
        </w:tc>
        <w:tc>
          <w:tcPr>
            <w:tcW w:type="dxa" w:w="3312"/>
            <w:vAlign w:val="center"/>
          </w:tcPr>
          <w:p>
            <w:r>
              <w:rPr>
                <w:rFonts w:ascii="Aptos" w:hAnsi="Aptos"/>
                <w:sz w:val="16"/>
              </w:rPr>
              <w:t>Quality checklist and report</w:t>
            </w:r>
          </w:p>
        </w:tc>
      </w:tr>
      <w:tr>
        <w:tc>
          <w:tcPr>
            <w:tcW w:type="dxa" w:w="3312"/>
            <w:vAlign w:val="center"/>
          </w:tcPr>
          <w:p>
            <w:r>
              <w:rPr>
                <w:rFonts w:ascii="Aptos" w:hAnsi="Aptos"/>
                <w:sz w:val="16"/>
              </w:rPr>
              <w:t>Contingency for access issues</w:t>
            </w:r>
          </w:p>
        </w:tc>
        <w:tc>
          <w:tcPr>
            <w:tcW w:type="dxa" w:w="3312"/>
            <w:vAlign w:val="center"/>
          </w:tcPr>
          <w:p>
            <w:r>
              <w:rPr>
                <w:rFonts w:ascii="Aptos" w:hAnsi="Aptos"/>
                <w:sz w:val="16"/>
              </w:rPr>
              <w:t>2</w:t>
            </w:r>
          </w:p>
        </w:tc>
        <w:tc>
          <w:tcPr>
            <w:tcW w:type="dxa" w:w="3312"/>
            <w:vAlign w:val="center"/>
          </w:tcPr>
          <w:p>
            <w:r>
              <w:rPr>
                <w:rFonts w:ascii="Aptos" w:hAnsi="Aptos"/>
                <w:sz w:val="16"/>
              </w:rPr>
              <w:t>Documented alternatives or limitations</w:t>
            </w:r>
          </w:p>
        </w:tc>
      </w:tr>
    </w:tbl>
    <w:p/>
    <w:p>
      <w:pPr>
        <w:pStyle w:val="Heading1"/>
      </w:pPr>
      <w:r>
        <w:t>10. Risks and Mitigation</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rPr>
                <w:b/>
                <w:sz w:val="17"/>
              </w:rPr>
              <w:t>Risk</w:t>
            </w:r>
          </w:p>
        </w:tc>
        <w:tc>
          <w:tcPr>
            <w:tcW w:type="dxa" w:w="4968"/>
            <w:shd w:fill="DCEAF7"/>
          </w:tcPr>
          <w:p>
            <w:r>
              <w:rPr>
                <w:b/>
                <w:sz w:val="17"/>
              </w:rPr>
              <w:t>Mitigation</w:t>
            </w:r>
          </w:p>
        </w:tc>
      </w:tr>
      <w:tr>
        <w:tc>
          <w:tcPr>
            <w:tcW w:type="dxa" w:w="4968"/>
            <w:vAlign w:val="center"/>
          </w:tcPr>
          <w:p>
            <w:r>
              <w:rPr>
                <w:rFonts w:ascii="Aptos" w:hAnsi="Aptos"/>
                <w:sz w:val="16"/>
              </w:rPr>
              <w:t>Portal/API changes</w:t>
            </w:r>
          </w:p>
        </w:tc>
        <w:tc>
          <w:tcPr>
            <w:tcW w:type="dxa" w:w="4968"/>
            <w:vAlign w:val="center"/>
          </w:tcPr>
          <w:p>
            <w:r>
              <w:rPr>
                <w:rFonts w:ascii="Aptos" w:hAnsi="Aptos"/>
                <w:sz w:val="16"/>
              </w:rPr>
              <w:t>Record source URLs and dates; use official bulk download as fallback.</w:t>
            </w:r>
          </w:p>
        </w:tc>
      </w:tr>
      <w:tr>
        <w:tc>
          <w:tcPr>
            <w:tcW w:type="dxa" w:w="4968"/>
            <w:vAlign w:val="center"/>
          </w:tcPr>
          <w:p>
            <w:r>
              <w:rPr>
                <w:rFonts w:ascii="Aptos" w:hAnsi="Aptos"/>
                <w:sz w:val="16"/>
              </w:rPr>
              <w:t>Incompatible definitions or units</w:t>
            </w:r>
          </w:p>
        </w:tc>
        <w:tc>
          <w:tcPr>
            <w:tcW w:type="dxa" w:w="4968"/>
            <w:vAlign w:val="center"/>
          </w:tcPr>
          <w:p>
            <w:r>
              <w:rPr>
                <w:rFonts w:ascii="Aptos" w:hAnsi="Aptos"/>
                <w:sz w:val="16"/>
              </w:rPr>
              <w:t>Reconcile metadata; keep separate tables if comparison is not valid.</w:t>
            </w:r>
          </w:p>
        </w:tc>
      </w:tr>
      <w:tr>
        <w:tc>
          <w:tcPr>
            <w:tcW w:type="dxa" w:w="4968"/>
            <w:vAlign w:val="center"/>
          </w:tcPr>
          <w:p>
            <w:r>
              <w:rPr>
                <w:rFonts w:ascii="Aptos" w:hAnsi="Aptos"/>
                <w:sz w:val="16"/>
              </w:rPr>
              <w:t>Missing/revised observations</w:t>
            </w:r>
          </w:p>
        </w:tc>
        <w:tc>
          <w:tcPr>
            <w:tcW w:type="dxa" w:w="4968"/>
            <w:vAlign w:val="center"/>
          </w:tcPr>
          <w:p>
            <w:r>
              <w:rPr>
                <w:rFonts w:ascii="Aptos" w:hAnsi="Aptos"/>
                <w:sz w:val="16"/>
              </w:rPr>
              <w:t>Record version/date and check source notes before interpretation.</w:t>
            </w:r>
          </w:p>
        </w:tc>
      </w:tr>
      <w:tr>
        <w:tc>
          <w:tcPr>
            <w:tcW w:type="dxa" w:w="4968"/>
            <w:vAlign w:val="center"/>
          </w:tcPr>
          <w:p>
            <w:r>
              <w:rPr>
                <w:rFonts w:ascii="Aptos" w:hAnsi="Aptos"/>
                <w:sz w:val="16"/>
              </w:rPr>
              <w:t>Manual extraction errors</w:t>
            </w:r>
          </w:p>
        </w:tc>
        <w:tc>
          <w:tcPr>
            <w:tcW w:type="dxa" w:w="4968"/>
            <w:vAlign w:val="center"/>
          </w:tcPr>
          <w:p>
            <w:r>
              <w:rPr>
                <w:rFonts w:ascii="Aptos" w:hAnsi="Aptos"/>
                <w:sz w:val="16"/>
              </w:rPr>
              <w:t>Double-check totals and cite report page/table.</w:t>
            </w:r>
          </w:p>
        </w:tc>
      </w:tr>
      <w:tr>
        <w:tc>
          <w:tcPr>
            <w:tcW w:type="dxa" w:w="4968"/>
            <w:vAlign w:val="center"/>
          </w:tcPr>
          <w:p>
            <w:r>
              <w:rPr>
                <w:rFonts w:ascii="Aptos" w:hAnsi="Aptos"/>
                <w:sz w:val="16"/>
              </w:rPr>
              <w:t>Large files or repository limits</w:t>
            </w:r>
          </w:p>
        </w:tc>
        <w:tc>
          <w:tcPr>
            <w:tcW w:type="dxa" w:w="4968"/>
            <w:vAlign w:val="center"/>
          </w:tcPr>
          <w:p>
            <w:r>
              <w:rPr>
                <w:rFonts w:ascii="Aptos" w:hAnsi="Aptos"/>
                <w:sz w:val="16"/>
              </w:rPr>
              <w:t>Use retrieval scripts and source instructions; follow usage terms.</w:t>
            </w:r>
          </w:p>
        </w:tc>
      </w:tr>
      <w:tr>
        <w:tc>
          <w:tcPr>
            <w:tcW w:type="dxa" w:w="4968"/>
            <w:vAlign w:val="center"/>
          </w:tcPr>
          <w:p>
            <w:r>
              <w:rPr>
                <w:rFonts w:ascii="Aptos" w:hAnsi="Aptos"/>
                <w:sz w:val="16"/>
              </w:rPr>
              <w:t>Data leakage in modeling</w:t>
            </w:r>
          </w:p>
        </w:tc>
        <w:tc>
          <w:tcPr>
            <w:tcW w:type="dxa" w:w="4968"/>
            <w:vAlign w:val="center"/>
          </w:tcPr>
          <w:p>
            <w:r>
              <w:rPr>
                <w:rFonts w:ascii="Aptos" w:hAnsi="Aptos"/>
                <w:sz w:val="16"/>
              </w:rPr>
              <w:t>Fit preprocessing only on training data and use time-aware validation.</w:t>
            </w:r>
          </w:p>
        </w:tc>
      </w:tr>
    </w:tbl>
    <w:p/>
    <w:p>
      <w:pPr>
        <w:pStyle w:val="Heading1"/>
      </w:pPr>
      <w:r>
        <w:t>11. Documentation and Reproducibility</w:t>
      </w:r>
    </w:p>
    <w:p>
      <w:pPr>
        <w:pStyle w:val="ListBullet"/>
      </w:pPr>
      <w:r>
        <w:t>Maintain a source register and data dictionary with definitions, units, and keys.</w:t>
      </w:r>
    </w:p>
    <w:p>
      <w:pPr>
        <w:pStyle w:val="ListBullet"/>
      </w:pPr>
      <w:r>
        <w:t>Maintain a cleaning log with each transformation, reason, and affected row count.</w:t>
      </w:r>
    </w:p>
    <w:p>
      <w:pPr>
        <w:pStyle w:val="ListBullet"/>
      </w:pPr>
      <w:r>
        <w:t>Separate raw, interim, and processed data; never overwrite original downloads.</w:t>
      </w:r>
    </w:p>
    <w:p>
      <w:pPr>
        <w:pStyle w:val="ListBullet"/>
      </w:pPr>
      <w:r>
        <w:t>Record Python/library versions where practical and use clear script names.</w:t>
      </w:r>
    </w:p>
    <w:p>
      <w:pPr>
        <w:pStyle w:val="ListBullet"/>
      </w:pPr>
      <w:r>
        <w:t>Provide a README with setup instructions, source URLs, run order, and limitations.</w:t>
      </w:r>
    </w:p>
    <w:p>
      <w:pPr>
        <w:pStyle w:val="ListBullet"/>
      </w:pPr>
      <w:r>
        <w:t>Never commit API keys, passwords, or private credentials to GitHub.</w:t>
      </w:r>
    </w:p>
    <w:p>
      <w:pPr>
        <w:pStyle w:val="Heading1"/>
      </w:pPr>
      <w:r>
        <w:t>12. Expected Deliverables and Conclusion</w:t>
      </w:r>
    </w:p>
    <w:p>
      <w:r>
        <w:t>At the end of this stage, the project should have a justified list of at least three public data sources, a repeatable collection procedure, original data files or retrieval instructions, a documented cleaning and validation workflow, a data dictionary, a cleaning log, and a clearly defined analysis-ready dataset structure. The pipeline is designed to reduce errors before EDA and modeling while preserving traceability from each result back to its original source.</w:t>
      </w:r>
    </w:p>
    <w:p>
      <w:r>
        <w:t>This plan prioritizes transparent decisions and data quality over premature modeling. If a source does not meet the selection criteria, it will be excluded or kept separate rather than forced into an unreliable merge. The workflow will provide a sound foundation for later exploratory analysis of crop production, harvested area, yield, and relevant agricultural indicators.</w:t>
      </w:r>
    </w:p>
    <w:p>
      <w:pPr>
        <w:pStyle w:val="Heading1"/>
      </w:pPr>
      <w:r>
        <w:t>13. References and Official Portals</w:t>
      </w:r>
    </w:p>
    <w:p>
      <w:pPr>
        <w:pStyle w:val="ListBullet"/>
      </w:pPr>
      <w:r>
        <w:t>FAOSTAT – FAO Statistics: https://www.fao.org/faostat/</w:t>
      </w:r>
    </w:p>
    <w:p>
      <w:pPr>
        <w:pStyle w:val="ListBullet"/>
      </w:pPr>
      <w:r>
        <w:t>FAO Statistics: https://www.fao.org/statistics/</w:t>
      </w:r>
    </w:p>
    <w:p>
      <w:pPr>
        <w:pStyle w:val="ListBullet"/>
      </w:pPr>
      <w:r>
        <w:t>World Bank Open Data: https://data.worldbank.org/</w:t>
      </w:r>
    </w:p>
    <w:p>
      <w:pPr>
        <w:pStyle w:val="ListBullet"/>
      </w:pPr>
      <w:r>
        <w:t>World Bank Indicators API documentation: https://datahelpdesk.worldbank.org/knowledgebase/articles/889392-about-the-indicators-api-documentation</w:t>
      </w:r>
    </w:p>
    <w:p>
      <w:pPr>
        <w:pStyle w:val="ListBullet"/>
      </w:pPr>
      <w:r>
        <w:t>Government of India Open Government Data Platform: https://www.data.gov.in/</w:t>
      </w:r>
    </w:p>
    <w:p>
      <w:pPr>
        <w:pStyle w:val="ListBullet"/>
      </w:pPr>
      <w:r>
        <w:t>India Directorate of Economics and Statistics: https://desagri.gov.in/</w:t>
      </w:r>
    </w:p>
    <w:p>
      <w:pPr>
        <w:pStyle w:val="Heading1"/>
      </w:pPr>
      <w:r>
        <w:t>Appendix A. Pre-Run Checklist</w:t>
      </w:r>
    </w:p>
    <w:p>
      <w:pPr>
        <w:pStyle w:val="ListBullet"/>
      </w:pPr>
      <w:r>
        <w:t>Dataset URL and publisher recorded.</w:t>
      </w:r>
    </w:p>
    <w:p>
      <w:pPr>
        <w:pStyle w:val="ListBullet"/>
      </w:pPr>
      <w:r>
        <w:t>Retrieval date and data period recorded.</w:t>
      </w:r>
    </w:p>
    <w:p>
      <w:pPr>
        <w:pStyle w:val="ListBullet"/>
      </w:pPr>
      <w:r>
        <w:t>License and permitted access method checked.</w:t>
      </w:r>
    </w:p>
    <w:p>
      <w:pPr>
        <w:pStyle w:val="ListBullet"/>
      </w:pPr>
      <w:r>
        <w:t>Raw data preserved without edits.</w:t>
      </w:r>
    </w:p>
    <w:p>
      <w:pPr>
        <w:pStyle w:val="ListBullet"/>
      </w:pPr>
      <w:r>
        <w:t>Units, keys, categories and missingness profiled.</w:t>
      </w:r>
    </w:p>
    <w:p>
      <w:pPr>
        <w:pStyle w:val="ListBullet"/>
      </w:pPr>
      <w:r>
        <w:t>Cleaning decisions and exceptions logged.</w:t>
      </w:r>
    </w:p>
    <w:p>
      <w:pPr>
        <w:pStyle w:val="ListBullet"/>
      </w:pPr>
      <w:r>
        <w:t>Join keys and merge cardinality validated.</w:t>
      </w:r>
    </w:p>
    <w:p>
      <w:pPr>
        <w:pStyle w:val="ListBullet"/>
      </w:pPr>
      <w:r>
        <w:t>Final dataset and documentation saved with clear names.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Internship Report | Data Collection, Preparation, and Cleaning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