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1 INTERNSHIP REPORT</w:t>
      </w:r>
    </w:p>
    <w:p>
      <w:pPr>
        <w:jc w:val="center"/>
      </w:pPr>
      <w:r>
        <w:rPr>
          <w:b/>
          <w:sz w:val="50"/>
        </w:rPr>
        <w:t>Data Exploration and Strategy Formulation</w:t>
      </w:r>
    </w:p>
    <w:p>
      <w:pPr>
        <w:jc w:val="center"/>
      </w:pPr>
      <w:r>
        <w:rPr>
          <w:i/>
          <w:sz w:val="28"/>
        </w:rPr>
        <w:t>Agriculture &amp; Agribusiness Data Science Project</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AF2F8"/>
          </w:tcPr>
          <w:p>
            <w:r/>
            <w:r>
              <w:rPr>
                <w:rFonts w:ascii="Aptos" w:hAnsi="Aptos"/>
                <w:b/>
                <w:sz w:val="18"/>
              </w:rPr>
              <w:t>Intern</w:t>
            </w:r>
          </w:p>
        </w:tc>
        <w:tc>
          <w:tcPr>
            <w:tcW w:type="dxa" w:w="4896"/>
            <w:vAlign w:val="center"/>
          </w:tcPr>
          <w:p>
            <w:r/>
            <w:r>
              <w:rPr>
                <w:rFonts w:ascii="Aptos" w:hAnsi="Aptos"/>
                <w:b w:val="0"/>
                <w:sz w:val="18"/>
              </w:rPr>
              <w:t>Tushar Mehar</w:t>
            </w:r>
          </w:p>
        </w:tc>
      </w:tr>
      <w:tr>
        <w:tc>
          <w:tcPr>
            <w:tcW w:type="dxa" w:w="4896"/>
            <w:vAlign w:val="center"/>
            <w:shd w:fill="EAF2F8"/>
          </w:tcPr>
          <w:p>
            <w:r/>
            <w:r>
              <w:rPr>
                <w:rFonts w:ascii="Aptos" w:hAnsi="Aptos"/>
                <w:b/>
                <w:sz w:val="18"/>
              </w:rPr>
              <w:t>Program</w:t>
            </w:r>
          </w:p>
        </w:tc>
        <w:tc>
          <w:tcPr>
            <w:tcW w:type="dxa" w:w="4896"/>
            <w:vAlign w:val="center"/>
          </w:tcPr>
          <w:p>
            <w:r/>
            <w:r>
              <w:rPr>
                <w:rFonts w:ascii="Aptos" w:hAnsi="Aptos"/>
                <w:b w:val="0"/>
                <w:sz w:val="18"/>
              </w:rPr>
              <w:t>Python / Data Science Internship</w:t>
            </w:r>
          </w:p>
        </w:tc>
      </w:tr>
      <w:tr>
        <w:tc>
          <w:tcPr>
            <w:tcW w:type="dxa" w:w="4896"/>
            <w:vAlign w:val="center"/>
            <w:shd w:fill="EAF2F8"/>
          </w:tcPr>
          <w:p>
            <w:r/>
            <w:r>
              <w:rPr>
                <w:rFonts w:ascii="Aptos" w:hAnsi="Aptos"/>
                <w:b/>
                <w:sz w:val="18"/>
              </w:rPr>
              <w:t>Week</w:t>
            </w:r>
          </w:p>
        </w:tc>
        <w:tc>
          <w:tcPr>
            <w:tcW w:type="dxa" w:w="4896"/>
            <w:vAlign w:val="center"/>
          </w:tcPr>
          <w:p>
            <w:r/>
            <w:r>
              <w:rPr>
                <w:rFonts w:ascii="Aptos" w:hAnsi="Aptos"/>
                <w:b w:val="0"/>
                <w:sz w:val="18"/>
              </w:rPr>
              <w:t>Week 1</w:t>
            </w:r>
          </w:p>
        </w:tc>
      </w:tr>
      <w:tr>
        <w:tc>
          <w:tcPr>
            <w:tcW w:type="dxa" w:w="4896"/>
            <w:vAlign w:val="center"/>
            <w:shd w:fill="EAF2F8"/>
          </w:tcPr>
          <w:p>
            <w:r/>
            <w:r>
              <w:rPr>
                <w:rFonts w:ascii="Aptos" w:hAnsi="Aptos"/>
                <w:b/>
                <w:sz w:val="18"/>
              </w:rPr>
              <w:t>Domain</w:t>
            </w:r>
          </w:p>
        </w:tc>
        <w:tc>
          <w:tcPr>
            <w:tcW w:type="dxa" w:w="4896"/>
            <w:vAlign w:val="center"/>
          </w:tcPr>
          <w:p>
            <w:r/>
            <w:r>
              <w:rPr>
                <w:rFonts w:ascii="Aptos" w:hAnsi="Aptos"/>
                <w:b w:val="0"/>
                <w:sz w:val="18"/>
              </w:rPr>
              <w:t>Agriculture and Agribusiness</w:t>
            </w:r>
          </w:p>
        </w:tc>
      </w:tr>
      <w:tr>
        <w:tc>
          <w:tcPr>
            <w:tcW w:type="dxa" w:w="4896"/>
            <w:vAlign w:val="center"/>
            <w:shd w:fill="EAF2F8"/>
          </w:tcPr>
          <w:p>
            <w:r/>
            <w:r>
              <w:rPr>
                <w:rFonts w:ascii="Aptos" w:hAnsi="Aptos"/>
                <w:b/>
                <w:sz w:val="18"/>
              </w:rPr>
              <w:t>Deliverable</w:t>
            </w:r>
          </w:p>
        </w:tc>
        <w:tc>
          <w:tcPr>
            <w:tcW w:type="dxa" w:w="4896"/>
            <w:vAlign w:val="center"/>
          </w:tcPr>
          <w:p>
            <w:r/>
            <w:r>
              <w:rPr>
                <w:rFonts w:ascii="Aptos" w:hAnsi="Aptos"/>
                <w:b w:val="0"/>
                <w:sz w:val="18"/>
              </w:rPr>
              <w:t>Project Strategy and Data Exploration Plan</w:t>
            </w:r>
          </w:p>
        </w:tc>
      </w:tr>
    </w:tbl>
    <w:p/>
    <w:p>
      <w:pPr>
        <w:jc w:val="center"/>
      </w:pPr>
      <w:r>
        <w:rPr>
          <w:sz w:val="20"/>
        </w:rPr>
        <w:t>Prepared as a self-contained initial strategy for the internship project</w:t>
      </w:r>
    </w:p>
    <w:p>
      <w:r>
        <w:br w:type="page"/>
      </w:r>
    </w:p>
    <w:p>
      <w:pPr>
        <w:pStyle w:val="Heading1"/>
      </w:pPr>
      <w:r>
        <w:t>1. Executive Summary</w:t>
      </w:r>
    </w:p>
    <w:p>
      <w:r>
        <w:t xml:space="preserve">This Week 1 strategy proposes a data science project focused on understanding agricultural production, yield, land use, prices, and broader agribusiness indicators, with India as the primary country context. The project will use publicly available and reputable sources such as FAOSTAT and World Bank indicators. FAOSTAT provides free access to food and agriculture statistics across more than 245 countries and territories, while its agricultural production domain covers crops and livestock, including production volume and harvested area. </w:t>
      </w:r>
    </w:p>
    <w:p>
      <w:r>
        <w:t>The initial analytical objective is to identify patterns that can support practical agribusiness decisions: which crops show sustained production or yield improvement, how harvested area and production move together, where productivity appears constrained, and how agricultural economic indicators change over time. The strategy intentionally begins with exploratory data analysis (EDA) before predictive modeling so that data quality, missing values, units, outliers, and meaningful relationships are understood first.</w:t>
      </w:r>
    </w:p>
    <w:p>
      <w:r>
        <w:t>The expected Week 1 output is therefore not a final prediction system. It is a defensible project blueprint covering data acquisition, cleaning, exploratory analysis, feature engineering, baseline modeling, validation, visualization, documentation, and business interpretation. During the later internship period, the strategy can be extended into a reproducible Python analysis and, if the data supports it, a yield or production forecasting model and an interactive dashboard.</w:t>
      </w:r>
    </w:p>
    <w:p>
      <w:pPr>
        <w:pStyle w:val="Heading2"/>
      </w:pPr>
      <w:r>
        <w:t>Executive Objectives</w:t>
      </w:r>
    </w:p>
    <w:p>
      <w:pPr>
        <w:pStyle w:val="ListBullet"/>
        <w:ind w:left="360"/>
      </w:pPr>
      <w:r>
        <w:t>Build a reliable agriculture-focused analytical dataset from public sources.</w:t>
      </w:r>
    </w:p>
    <w:p>
      <w:pPr>
        <w:pStyle w:val="ListBullet"/>
        <w:ind w:left="360"/>
      </w:pPr>
      <w:r>
        <w:t>Measure historical trends in crop production, harvested area, and yield.</w:t>
      </w:r>
    </w:p>
    <w:p>
      <w:pPr>
        <w:pStyle w:val="ListBullet"/>
        <w:ind w:left="360"/>
      </w:pPr>
      <w:r>
        <w:t>Identify relationships between production, area, productivity, prices, and macro/agricultural indicators.</w:t>
      </w:r>
    </w:p>
    <w:p>
      <w:pPr>
        <w:pStyle w:val="ListBullet"/>
        <w:ind w:left="360"/>
      </w:pPr>
      <w:r>
        <w:t>Translate statistical findings into agribusiness-relevant insights rather than only technical metrics.</w:t>
      </w:r>
    </w:p>
    <w:p>
      <w:pPr>
        <w:pStyle w:val="ListBullet"/>
        <w:ind w:left="360"/>
      </w:pPr>
      <w:r>
        <w:t>Develop a reproducible Python workflow that can be extended into visualization and predictive modeling.</w:t>
      </w:r>
    </w:p>
    <w:p>
      <w:pPr>
        <w:pStyle w:val="Heading1"/>
      </w:pPr>
      <w:r>
        <w:t>2. Introduction and Problem Statement</w:t>
      </w:r>
    </w:p>
    <w:p>
      <w:r>
        <w:t>Agriculture is influenced by multiple interacting factors, including weather, land availability, irrigation, input use, market prices, technology, and policy. Traditional descriptive reporting can show what happened, but data science can combine historical observations to detect patterns, quantify relationships, and support evidence-based planning.</w:t>
      </w:r>
    </w:p>
    <w:p>
      <w:r>
        <w:t>For agribusiness stakeholders, useful questions include: Which crops are becoming more productive? Is production growth driven by expansion of harvested area or by yield improvement? Which crops show high variability? Which indicators may help explain production changes? What information should be monitored before making procurement, inventory, pricing, or resource-allocation decisions?</w:t>
      </w:r>
    </w:p>
    <w:p>
      <w:pPr>
        <w:pStyle w:val="Heading2"/>
      </w:pPr>
      <w:r>
        <w:t>Primary Business Question</w:t>
      </w:r>
    </w:p>
    <w:p>
      <w:r>
        <w:t>How can publicly available agricultural and economic data be analyzed to identify production, yield, land-use, and market trends that can improve agribusiness planning and identify opportunities for further predictive analysis?</w:t>
      </w:r>
    </w:p>
    <w:p>
      <w:pPr>
        <w:pStyle w:val="Heading2"/>
      </w:pPr>
      <w:r>
        <w:t>Supporting Questions</w:t>
      </w:r>
    </w:p>
    <w:p>
      <w:pPr>
        <w:pStyle w:val="ListBullet"/>
        <w:ind w:left="360"/>
      </w:pPr>
      <w:r>
        <w:t>What are the long-term production and yield trends for selected crops in India?</w:t>
      </w:r>
    </w:p>
    <w:p>
      <w:pPr>
        <w:pStyle w:val="ListBullet"/>
        <w:ind w:left="360"/>
      </w:pPr>
      <w:r>
        <w:t>How strongly does harvested area relate to total production?</w:t>
      </w:r>
    </w:p>
    <w:p>
      <w:pPr>
        <w:pStyle w:val="ListBullet"/>
        <w:ind w:left="360"/>
      </w:pPr>
      <w:r>
        <w:t>Which crops show the highest growth, volatility, or structural change?</w:t>
      </w:r>
    </w:p>
    <w:p>
      <w:pPr>
        <w:pStyle w:val="ListBullet"/>
        <w:ind w:left="360"/>
      </w:pPr>
      <w:r>
        <w:t>Are production changes more consistent with area expansion or productivity improvement?</w:t>
      </w:r>
    </w:p>
    <w:p>
      <w:pPr>
        <w:pStyle w:val="ListBullet"/>
        <w:ind w:left="360"/>
      </w:pPr>
      <w:r>
        <w:t>How can price and broader agricultural indicators be incorporated without confusing correlation with causation?</w:t>
      </w:r>
    </w:p>
    <w:p>
      <w:pPr>
        <w:pStyle w:val="ListBullet"/>
        <w:ind w:left="360"/>
      </w:pPr>
      <w:r>
        <w:t>Which variables are suitable for a future forecasting model?</w:t>
      </w:r>
    </w:p>
    <w:p>
      <w:pPr>
        <w:pStyle w:val="Heading1"/>
      </w:pPr>
      <w:r>
        <w:t>3. Data Sources and Exploration Plan</w:t>
      </w:r>
    </w:p>
    <w:p>
      <w:r>
        <w:t>The project will prioritize authoritative, reproducible, and openly accessible sources. The initial dataset will be assembled only after checking definitions, units, frequency, geographic coverage, and update dates.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rFonts w:ascii="Aptos" w:hAnsi="Aptos"/>
                <w:b/>
                <w:sz w:val="18"/>
              </w:rPr>
              <w:t>Source</w:t>
            </w:r>
          </w:p>
        </w:tc>
        <w:tc>
          <w:tcPr>
            <w:tcW w:type="dxa" w:w="2448"/>
            <w:vAlign w:val="center"/>
            <w:shd w:fill="D9EAF7"/>
          </w:tcPr>
          <w:p>
            <w:r/>
            <w:r>
              <w:rPr>
                <w:rFonts w:ascii="Aptos" w:hAnsi="Aptos"/>
                <w:b/>
                <w:sz w:val="18"/>
              </w:rPr>
              <w:t>Potential Data</w:t>
            </w:r>
          </w:p>
        </w:tc>
        <w:tc>
          <w:tcPr>
            <w:tcW w:type="dxa" w:w="2448"/>
            <w:vAlign w:val="center"/>
            <w:shd w:fill="D9EAF7"/>
          </w:tcPr>
          <w:p>
            <w:r/>
            <w:r>
              <w:rPr>
                <w:rFonts w:ascii="Aptos" w:hAnsi="Aptos"/>
                <w:b/>
                <w:sz w:val="18"/>
              </w:rPr>
              <w:t>Use in Project</w:t>
            </w:r>
          </w:p>
        </w:tc>
        <w:tc>
          <w:tcPr>
            <w:tcW w:type="dxa" w:w="2448"/>
            <w:vAlign w:val="center"/>
            <w:shd w:fill="D9EAF7"/>
          </w:tcPr>
          <w:p>
            <w:r/>
            <w:r>
              <w:rPr>
                <w:rFonts w:ascii="Aptos" w:hAnsi="Aptos"/>
                <w:b/>
                <w:sz w:val="18"/>
              </w:rPr>
              <w:t>Reliability / Notes</w:t>
            </w:r>
          </w:p>
        </w:tc>
      </w:tr>
      <w:tr>
        <w:tc>
          <w:tcPr>
            <w:tcW w:type="dxa" w:w="2448"/>
            <w:vAlign w:val="center"/>
          </w:tcPr>
          <w:p>
            <w:r/>
            <w:r>
              <w:rPr>
                <w:rFonts w:ascii="Aptos" w:hAnsi="Aptos"/>
                <w:b w:val="0"/>
                <w:sz w:val="18"/>
              </w:rPr>
              <w:t>FAOSTAT</w:t>
            </w:r>
          </w:p>
        </w:tc>
        <w:tc>
          <w:tcPr>
            <w:tcW w:type="dxa" w:w="2448"/>
            <w:vAlign w:val="center"/>
          </w:tcPr>
          <w:p>
            <w:r/>
            <w:r>
              <w:rPr>
                <w:rFonts w:ascii="Aptos" w:hAnsi="Aptos"/>
                <w:b w:val="0"/>
                <w:sz w:val="18"/>
              </w:rPr>
              <w:t>Crop/livestock production, harvested area, land use, fertilizer, prices</w:t>
            </w:r>
          </w:p>
        </w:tc>
        <w:tc>
          <w:tcPr>
            <w:tcW w:type="dxa" w:w="2448"/>
            <w:vAlign w:val="center"/>
          </w:tcPr>
          <w:p>
            <w:r/>
            <w:r>
              <w:rPr>
                <w:rFonts w:ascii="Aptos" w:hAnsi="Aptos"/>
                <w:b w:val="0"/>
                <w:sz w:val="18"/>
              </w:rPr>
              <w:t>Core agriculture dataset and trend analysis</w:t>
            </w:r>
          </w:p>
        </w:tc>
        <w:tc>
          <w:tcPr>
            <w:tcW w:type="dxa" w:w="2448"/>
            <w:vAlign w:val="center"/>
          </w:tcPr>
          <w:p>
            <w:r/>
            <w:r>
              <w:rPr>
                <w:rFonts w:ascii="Aptos" w:hAnsi="Aptos"/>
                <w:b w:val="0"/>
                <w:sz w:val="18"/>
              </w:rPr>
              <w:t>Official FAO statistical system; annual data</w:t>
            </w:r>
          </w:p>
        </w:tc>
      </w:tr>
      <w:tr>
        <w:tc>
          <w:tcPr>
            <w:tcW w:type="dxa" w:w="2448"/>
            <w:vAlign w:val="center"/>
          </w:tcPr>
          <w:p>
            <w:r/>
            <w:r>
              <w:rPr>
                <w:rFonts w:ascii="Aptos" w:hAnsi="Aptos"/>
                <w:b w:val="0"/>
                <w:sz w:val="18"/>
              </w:rPr>
              <w:t>World Bank WDI</w:t>
            </w:r>
          </w:p>
        </w:tc>
        <w:tc>
          <w:tcPr>
            <w:tcW w:type="dxa" w:w="2448"/>
            <w:vAlign w:val="center"/>
          </w:tcPr>
          <w:p>
            <w:r/>
            <w:r>
              <w:rPr>
                <w:rFonts w:ascii="Aptos" w:hAnsi="Aptos"/>
                <w:b w:val="0"/>
                <w:sz w:val="18"/>
              </w:rPr>
              <w:t>Agriculture value added, GDP-related indicators, cereal yield and other indicators</w:t>
            </w:r>
          </w:p>
        </w:tc>
        <w:tc>
          <w:tcPr>
            <w:tcW w:type="dxa" w:w="2448"/>
            <w:vAlign w:val="center"/>
          </w:tcPr>
          <w:p>
            <w:r/>
            <w:r>
              <w:rPr>
                <w:rFonts w:ascii="Aptos" w:hAnsi="Aptos"/>
                <w:b w:val="0"/>
                <w:sz w:val="18"/>
              </w:rPr>
              <w:t>Economic context and cross-checking</w:t>
            </w:r>
          </w:p>
        </w:tc>
        <w:tc>
          <w:tcPr>
            <w:tcW w:type="dxa" w:w="2448"/>
            <w:vAlign w:val="center"/>
          </w:tcPr>
          <w:p>
            <w:r/>
            <w:r>
              <w:rPr>
                <w:rFonts w:ascii="Aptos" w:hAnsi="Aptos"/>
                <w:b w:val="0"/>
                <w:sz w:val="18"/>
              </w:rPr>
              <w:t>Country-level indicators with downloadable data</w:t>
            </w:r>
          </w:p>
        </w:tc>
      </w:tr>
      <w:tr>
        <w:tc>
          <w:tcPr>
            <w:tcW w:type="dxa" w:w="2448"/>
            <w:vAlign w:val="center"/>
          </w:tcPr>
          <w:p>
            <w:r/>
            <w:r>
              <w:rPr>
                <w:rFonts w:ascii="Aptos" w:hAnsi="Aptos"/>
                <w:b w:val="0"/>
                <w:sz w:val="18"/>
              </w:rPr>
              <w:t>India Open Government Data (data.gov.in)</w:t>
            </w:r>
          </w:p>
        </w:tc>
        <w:tc>
          <w:tcPr>
            <w:tcW w:type="dxa" w:w="2448"/>
            <w:vAlign w:val="center"/>
          </w:tcPr>
          <w:p>
            <w:r/>
            <w:r>
              <w:rPr>
                <w:rFonts w:ascii="Aptos" w:hAnsi="Aptos"/>
                <w:b w:val="0"/>
                <w:sz w:val="18"/>
              </w:rPr>
              <w:t>Government datasets where relevant</w:t>
            </w:r>
          </w:p>
        </w:tc>
        <w:tc>
          <w:tcPr>
            <w:tcW w:type="dxa" w:w="2448"/>
            <w:vAlign w:val="center"/>
          </w:tcPr>
          <w:p>
            <w:r/>
            <w:r>
              <w:rPr>
                <w:rFonts w:ascii="Aptos" w:hAnsi="Aptos"/>
                <w:b w:val="0"/>
                <w:sz w:val="18"/>
              </w:rPr>
              <w:t>India-specific enrichment and validation</w:t>
            </w:r>
          </w:p>
        </w:tc>
        <w:tc>
          <w:tcPr>
            <w:tcW w:type="dxa" w:w="2448"/>
            <w:vAlign w:val="center"/>
          </w:tcPr>
          <w:p>
            <w:r/>
            <w:r>
              <w:rPr>
                <w:rFonts w:ascii="Aptos" w:hAnsi="Aptos"/>
                <w:b w:val="0"/>
                <w:sz w:val="18"/>
              </w:rPr>
              <w:t>Use only datasets with clear metadata and provenance</w:t>
            </w:r>
          </w:p>
        </w:tc>
      </w:tr>
    </w:tbl>
    <w:p>
      <w:r>
        <w:t>FAOSTAT specifically provides agricultural production statistics covering production volumes and harvested areas, and its data collection also includes land use, irrigation, agricultural practices, fertilizer use, and producer prices. The World Bank provides India indicators such as agriculture, forestry and fishing value added and cereal yield. These sources provide a strong foundation for an initial exploratory study.</w:t>
      </w:r>
    </w:p>
    <w:p>
      <w:pPr>
        <w:pStyle w:val="Heading2"/>
      </w:pPr>
      <w:r>
        <w:t>Planned Core Variables</w:t>
      </w:r>
    </w:p>
    <w:p>
      <w:pPr>
        <w:pStyle w:val="ListBullet"/>
        <w:ind w:left="360"/>
      </w:pPr>
      <w:r>
        <w:t>Time: year or reporting period.</w:t>
      </w:r>
    </w:p>
    <w:p>
      <w:pPr>
        <w:pStyle w:val="ListBullet"/>
        <w:ind w:left="360"/>
      </w:pPr>
      <w:r>
        <w:t>Geography: country, and sub-national geography when a consistent dataset is available.</w:t>
      </w:r>
    </w:p>
    <w:p>
      <w:pPr>
        <w:pStyle w:val="ListBullet"/>
        <w:ind w:left="360"/>
      </w:pPr>
      <w:r>
        <w:t>Crop/commodity: crop or commodity category.</w:t>
      </w:r>
    </w:p>
    <w:p>
      <w:pPr>
        <w:pStyle w:val="ListBullet"/>
        <w:ind w:left="360"/>
      </w:pPr>
      <w:r>
        <w:t>Production: total output quantity and unit.</w:t>
      </w:r>
    </w:p>
    <w:p>
      <w:pPr>
        <w:pStyle w:val="ListBullet"/>
        <w:ind w:left="360"/>
      </w:pPr>
      <w:r>
        <w:t>Harvested area: cultivated/harvested area and unit.</w:t>
      </w:r>
    </w:p>
    <w:p>
      <w:pPr>
        <w:pStyle w:val="ListBullet"/>
        <w:ind w:left="360"/>
      </w:pPr>
      <w:r>
        <w:t>Yield/productivity: output per unit of harvested area.</w:t>
      </w:r>
    </w:p>
    <w:p>
      <w:pPr>
        <w:pStyle w:val="ListBullet"/>
        <w:ind w:left="360"/>
      </w:pPr>
      <w:r>
        <w:t>Price: producer or relevant agricultural price indicator where comparable.</w:t>
      </w:r>
    </w:p>
    <w:p>
      <w:pPr>
        <w:pStyle w:val="ListBullet"/>
        <w:ind w:left="360"/>
      </w:pPr>
      <w:r>
        <w:t>Agricultural land / irrigation / input indicators: used as contextual variables where definitions align.</w:t>
      </w:r>
    </w:p>
    <w:p>
      <w:pPr>
        <w:pStyle w:val="ListBullet"/>
        <w:ind w:left="360"/>
      </w:pPr>
      <w:r>
        <w:t>Economic indicators: agriculture value added and selected macro indicators for contextual analysis.</w:t>
      </w:r>
    </w:p>
    <w:p>
      <w:pPr>
        <w:pStyle w:val="Heading1"/>
      </w:pPr>
      <w:r>
        <w:t>4. Strategic Methodology</w:t>
      </w:r>
    </w:p>
    <w:p>
      <w:pPr>
        <w:pStyle w:val="Heading2"/>
      </w:pPr>
      <w:r>
        <w:t>4.1 Data Collection</w:t>
      </w:r>
    </w:p>
    <w:p>
      <w:pPr>
        <w:pStyle w:val="ListNumber"/>
      </w:pPr>
      <w:r>
        <w:t>Download the selected datasets from official sources and record source URLs, dataset names, download dates, and licenses/usage conditions.</w:t>
      </w:r>
    </w:p>
    <w:p>
      <w:pPr>
        <w:pStyle w:val="ListNumber"/>
      </w:pPr>
      <w:r>
        <w:t>Create a data dictionary containing variable names, definitions, units, frequency, and expected ranges.</w:t>
      </w:r>
    </w:p>
    <w:p>
      <w:pPr>
        <w:pStyle w:val="ListNumber"/>
      </w:pPr>
      <w:r>
        <w:t>Select a consistent analysis period and a manageable set of crops/commodities for the first iteration.</w:t>
      </w:r>
    </w:p>
    <w:p>
      <w:pPr>
        <w:pStyle w:val="ListNumber"/>
      </w:pPr>
      <w:r>
        <w:t>Store raw data separately from cleaned data so that every transformation is traceable.</w:t>
      </w:r>
    </w:p>
    <w:p>
      <w:pPr>
        <w:pStyle w:val="Heading2"/>
      </w:pPr>
      <w:r>
        <w:t>4.2 Data Cleaning and Processing</w:t>
      </w:r>
    </w:p>
    <w:p>
      <w:pPr>
        <w:pStyle w:val="ListNumber"/>
      </w:pPr>
      <w:r>
        <w:t>Standardize column names, data types, country/crop labels, units, and year formats.</w:t>
      </w:r>
    </w:p>
    <w:p>
      <w:pPr>
        <w:pStyle w:val="ListNumber"/>
      </w:pPr>
      <w:r>
        <w:t>Inspect missing values, duplicate records, inconsistent units, and impossible values.</w:t>
      </w:r>
    </w:p>
    <w:p>
      <w:pPr>
        <w:pStyle w:val="ListNumber"/>
      </w:pPr>
      <w:r>
        <w:t>Check whether apparent changes are genuine trends or artifacts of definitions, coverage, or methodology.</w:t>
      </w:r>
    </w:p>
    <w:p>
      <w:pPr>
        <w:pStyle w:val="ListNumber"/>
      </w:pPr>
      <w:r>
        <w:t>Handle missing values using a documented rule rather than automatic imputation.</w:t>
      </w:r>
    </w:p>
    <w:p>
      <w:pPr>
        <w:pStyle w:val="ListNumber"/>
      </w:pPr>
      <w:r>
        <w:t>Create derived measures such as yield = production / harvested area where the source definitions make this valid.</w:t>
      </w:r>
    </w:p>
    <w:p>
      <w:pPr>
        <w:pStyle w:val="ListNumber"/>
      </w:pPr>
      <w:r>
        <w:t>Maintain a reproducible preprocessing script in Python.</w:t>
      </w:r>
    </w:p>
    <w:p>
      <w:pPr>
        <w:pStyle w:val="Heading2"/>
      </w:pPr>
      <w:r>
        <w:t>4.3 Exploratory Data Analysis</w:t>
      </w:r>
    </w:p>
    <w:p>
      <w:pPr>
        <w:pStyle w:val="ListBullet"/>
        <w:ind w:left="360"/>
      </w:pPr>
      <w:r>
        <w:t>Descriptive statistics: mean, median, standard deviation, minimum, maximum, and coefficient of variation where appropriate.</w:t>
      </w:r>
    </w:p>
    <w:p>
      <w:pPr>
        <w:pStyle w:val="ListBullet"/>
        <w:ind w:left="360"/>
      </w:pPr>
      <w:r>
        <w:t>Time-series analysis: annual production, area, yield, and price trends.</w:t>
      </w:r>
    </w:p>
    <w:p>
      <w:pPr>
        <w:pStyle w:val="ListBullet"/>
        <w:ind w:left="360"/>
      </w:pPr>
      <w:r>
        <w:t>Growth analysis: year-over-year and compound annual growth rates.</w:t>
      </w:r>
    </w:p>
    <w:p>
      <w:pPr>
        <w:pStyle w:val="ListBullet"/>
        <w:ind w:left="360"/>
      </w:pPr>
      <w:r>
        <w:t>Comparative analysis: crop-wise and period-wise rankings.</w:t>
      </w:r>
    </w:p>
    <w:p>
      <w:pPr>
        <w:pStyle w:val="ListBullet"/>
        <w:ind w:left="360"/>
      </w:pPr>
      <w:r>
        <w:t>Relationship analysis: correlation and scatter plots between area, production, yield, and contextual indicators.</w:t>
      </w:r>
    </w:p>
    <w:p>
      <w:pPr>
        <w:pStyle w:val="ListBullet"/>
        <w:ind w:left="360"/>
      </w:pPr>
      <w:r>
        <w:t>Outlier analysis: identify extreme values and investigate whether they represent real events or data-quality issues.</w:t>
      </w:r>
    </w:p>
    <w:p>
      <w:pPr>
        <w:pStyle w:val="ListBullet"/>
        <w:ind w:left="360"/>
      </w:pPr>
      <w:r>
        <w:t>Visualization: line charts, bar charts, heatmaps, box plots, and selected geographic visuals if reliable spatial data is available.</w:t>
      </w:r>
    </w:p>
    <w:p>
      <w:pPr>
        <w:pStyle w:val="Heading2"/>
      </w:pPr>
      <w:r>
        <w:t>4.4 Statistical and Predictive Approach</w:t>
      </w:r>
    </w:p>
    <w:p>
      <w:r>
        <w:t>Predictive modeling will be treated as a second-stage activity after EDA. A simple baseline model will be established first, followed by more advanced methods only if the data volume and quality justify them.</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AF7"/>
          </w:tcPr>
          <w:p>
            <w:r/>
            <w:r>
              <w:rPr>
                <w:rFonts w:ascii="Aptos" w:hAnsi="Aptos"/>
                <w:b/>
                <w:sz w:val="18"/>
              </w:rPr>
              <w:t>Method</w:t>
            </w:r>
          </w:p>
        </w:tc>
        <w:tc>
          <w:tcPr>
            <w:tcW w:type="dxa" w:w="3264"/>
            <w:vAlign w:val="center"/>
            <w:shd w:fill="D9EAF7"/>
          </w:tcPr>
          <w:p>
            <w:r/>
            <w:r>
              <w:rPr>
                <w:rFonts w:ascii="Aptos" w:hAnsi="Aptos"/>
                <w:b/>
                <w:sz w:val="18"/>
              </w:rPr>
              <w:t>Purpose</w:t>
            </w:r>
          </w:p>
        </w:tc>
        <w:tc>
          <w:tcPr>
            <w:tcW w:type="dxa" w:w="3264"/>
            <w:vAlign w:val="center"/>
            <w:shd w:fill="D9EAF7"/>
          </w:tcPr>
          <w:p>
            <w:r/>
            <w:r>
              <w:rPr>
                <w:rFonts w:ascii="Aptos" w:hAnsi="Aptos"/>
                <w:b/>
                <w:sz w:val="18"/>
              </w:rPr>
              <w:t>Why Selected</w:t>
            </w:r>
          </w:p>
        </w:tc>
      </w:tr>
      <w:tr>
        <w:tc>
          <w:tcPr>
            <w:tcW w:type="dxa" w:w="3264"/>
            <w:vAlign w:val="center"/>
          </w:tcPr>
          <w:p>
            <w:r/>
            <w:r>
              <w:rPr>
                <w:rFonts w:ascii="Aptos" w:hAnsi="Aptos"/>
                <w:b w:val="0"/>
                <w:sz w:val="18"/>
              </w:rPr>
              <w:t>Linear Regression / Ridge</w:t>
            </w:r>
          </w:p>
        </w:tc>
        <w:tc>
          <w:tcPr>
            <w:tcW w:type="dxa" w:w="3264"/>
            <w:vAlign w:val="center"/>
          </w:tcPr>
          <w:p>
            <w:r/>
            <w:r>
              <w:rPr>
                <w:rFonts w:ascii="Aptos" w:hAnsi="Aptos"/>
                <w:b w:val="0"/>
                <w:sz w:val="18"/>
              </w:rPr>
              <w:t>Baseline production or yield prediction</w:t>
            </w:r>
          </w:p>
        </w:tc>
        <w:tc>
          <w:tcPr>
            <w:tcW w:type="dxa" w:w="3264"/>
            <w:vAlign w:val="center"/>
          </w:tcPr>
          <w:p>
            <w:r/>
            <w:r>
              <w:rPr>
                <w:rFonts w:ascii="Aptos" w:hAnsi="Aptos"/>
                <w:b w:val="0"/>
                <w:sz w:val="18"/>
              </w:rPr>
              <w:t>Interpretable benchmark and regularization option</w:t>
            </w:r>
          </w:p>
        </w:tc>
      </w:tr>
      <w:tr>
        <w:tc>
          <w:tcPr>
            <w:tcW w:type="dxa" w:w="3264"/>
            <w:vAlign w:val="center"/>
          </w:tcPr>
          <w:p>
            <w:r/>
            <w:r>
              <w:rPr>
                <w:rFonts w:ascii="Aptos" w:hAnsi="Aptos"/>
                <w:b w:val="0"/>
                <w:sz w:val="18"/>
              </w:rPr>
              <w:t>Random Forest</w:t>
            </w:r>
          </w:p>
        </w:tc>
        <w:tc>
          <w:tcPr>
            <w:tcW w:type="dxa" w:w="3264"/>
            <w:vAlign w:val="center"/>
          </w:tcPr>
          <w:p>
            <w:r/>
            <w:r>
              <w:rPr>
                <w:rFonts w:ascii="Aptos" w:hAnsi="Aptos"/>
                <w:b w:val="0"/>
                <w:sz w:val="18"/>
              </w:rPr>
              <w:t>Non-linear relationships and feature importance</w:t>
            </w:r>
          </w:p>
        </w:tc>
        <w:tc>
          <w:tcPr>
            <w:tcW w:type="dxa" w:w="3264"/>
            <w:vAlign w:val="center"/>
          </w:tcPr>
          <w:p>
            <w:r/>
            <w:r>
              <w:rPr>
                <w:rFonts w:ascii="Aptos" w:hAnsi="Aptos"/>
                <w:b w:val="0"/>
                <w:sz w:val="18"/>
              </w:rPr>
              <w:t>Robust baseline for mixed relationships</w:t>
            </w:r>
          </w:p>
        </w:tc>
      </w:tr>
      <w:tr>
        <w:tc>
          <w:tcPr>
            <w:tcW w:type="dxa" w:w="3264"/>
            <w:vAlign w:val="center"/>
          </w:tcPr>
          <w:p>
            <w:r/>
            <w:r>
              <w:rPr>
                <w:rFonts w:ascii="Aptos" w:hAnsi="Aptos"/>
                <w:b w:val="0"/>
                <w:sz w:val="18"/>
              </w:rPr>
              <w:t>Gradient Boosting / XGBoost or LightGBM</w:t>
            </w:r>
          </w:p>
        </w:tc>
        <w:tc>
          <w:tcPr>
            <w:tcW w:type="dxa" w:w="3264"/>
            <w:vAlign w:val="center"/>
          </w:tcPr>
          <w:p>
            <w:r/>
            <w:r>
              <w:rPr>
                <w:rFonts w:ascii="Aptos" w:hAnsi="Aptos"/>
                <w:b w:val="0"/>
                <w:sz w:val="18"/>
              </w:rPr>
              <w:t>Higher-performance tabular modeling if justified</w:t>
            </w:r>
          </w:p>
        </w:tc>
        <w:tc>
          <w:tcPr>
            <w:tcW w:type="dxa" w:w="3264"/>
            <w:vAlign w:val="center"/>
          </w:tcPr>
          <w:p>
            <w:r/>
            <w:r>
              <w:rPr>
                <w:rFonts w:ascii="Aptos" w:hAnsi="Aptos"/>
                <w:b w:val="0"/>
                <w:sz w:val="18"/>
              </w:rPr>
              <w:t>Can capture non-linear interactions</w:t>
            </w:r>
          </w:p>
        </w:tc>
      </w:tr>
      <w:tr>
        <w:tc>
          <w:tcPr>
            <w:tcW w:type="dxa" w:w="3264"/>
            <w:vAlign w:val="center"/>
          </w:tcPr>
          <w:p>
            <w:r/>
            <w:r>
              <w:rPr>
                <w:rFonts w:ascii="Aptos" w:hAnsi="Aptos"/>
                <w:b w:val="0"/>
                <w:sz w:val="18"/>
              </w:rPr>
              <w:t>Time-series baseline</w:t>
            </w:r>
          </w:p>
        </w:tc>
        <w:tc>
          <w:tcPr>
            <w:tcW w:type="dxa" w:w="3264"/>
            <w:vAlign w:val="center"/>
          </w:tcPr>
          <w:p>
            <w:r/>
            <w:r>
              <w:rPr>
                <w:rFonts w:ascii="Aptos" w:hAnsi="Aptos"/>
                <w:b w:val="0"/>
                <w:sz w:val="18"/>
              </w:rPr>
              <w:t>Forecast selected crop indicator</w:t>
            </w:r>
          </w:p>
        </w:tc>
        <w:tc>
          <w:tcPr>
            <w:tcW w:type="dxa" w:w="3264"/>
            <w:vAlign w:val="center"/>
          </w:tcPr>
          <w:p>
            <w:r/>
            <w:r>
              <w:rPr>
                <w:rFonts w:ascii="Aptos" w:hAnsi="Aptos"/>
                <w:b w:val="0"/>
                <w:sz w:val="18"/>
              </w:rPr>
              <w:t>Tests whether historical patterns alone provide useful predictive signal</w:t>
            </w:r>
          </w:p>
        </w:tc>
      </w:tr>
    </w:tbl>
    <w:p>
      <w:r>
        <w:t>Model evaluation will use appropriate time-aware train/validation splits where forecasting is involved. Candidate metrics include MAE, RMSE, and R² for regression, with error analysis by crop and period. The project will avoid presenting correlation as causation and will document limitations explicitly.</w:t>
      </w:r>
    </w:p>
    <w:p>
      <w:pPr>
        <w:pStyle w:val="Heading1"/>
      </w:pPr>
      <w:r>
        <w:t>5. Agribusiness Context and Expected Insights</w:t>
      </w:r>
    </w:p>
    <w:p>
      <w:r>
        <w:t>The strategy is designed around decisions rather than only algorithms. A producer, procurement team, agri-input business, trader, or policymaker may need to understand whether a market or production change is persistent, seasonal, productivity-driven, or associated with broader conditions.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AF7"/>
          </w:tcPr>
          <w:p>
            <w:r/>
            <w:r>
              <w:rPr>
                <w:rFonts w:ascii="Aptos" w:hAnsi="Aptos"/>
                <w:b/>
                <w:sz w:val="18"/>
              </w:rPr>
              <w:t>Business Area</w:t>
            </w:r>
          </w:p>
        </w:tc>
        <w:tc>
          <w:tcPr>
            <w:tcW w:type="dxa" w:w="3264"/>
            <w:vAlign w:val="center"/>
            <w:shd w:fill="D9EAF7"/>
          </w:tcPr>
          <w:p>
            <w:r/>
            <w:r>
              <w:rPr>
                <w:rFonts w:ascii="Aptos" w:hAnsi="Aptos"/>
                <w:b/>
                <w:sz w:val="18"/>
              </w:rPr>
              <w:t>Analytical Signal</w:t>
            </w:r>
          </w:p>
        </w:tc>
        <w:tc>
          <w:tcPr>
            <w:tcW w:type="dxa" w:w="3264"/>
            <w:vAlign w:val="center"/>
            <w:shd w:fill="D9EAF7"/>
          </w:tcPr>
          <w:p>
            <w:r/>
            <w:r>
              <w:rPr>
                <w:rFonts w:ascii="Aptos" w:hAnsi="Aptos"/>
                <w:b/>
                <w:sz w:val="18"/>
              </w:rPr>
              <w:t>Potential Decision Support</w:t>
            </w:r>
          </w:p>
        </w:tc>
      </w:tr>
      <w:tr>
        <w:tc>
          <w:tcPr>
            <w:tcW w:type="dxa" w:w="3264"/>
            <w:vAlign w:val="center"/>
          </w:tcPr>
          <w:p>
            <w:r/>
            <w:r>
              <w:rPr>
                <w:rFonts w:ascii="Aptos" w:hAnsi="Aptos"/>
                <w:b w:val="0"/>
                <w:sz w:val="18"/>
              </w:rPr>
              <w:t>Procurement</w:t>
            </w:r>
          </w:p>
        </w:tc>
        <w:tc>
          <w:tcPr>
            <w:tcW w:type="dxa" w:w="3264"/>
            <w:vAlign w:val="center"/>
          </w:tcPr>
          <w:p>
            <w:r/>
            <w:r>
              <w:rPr>
                <w:rFonts w:ascii="Aptos" w:hAnsi="Aptos"/>
                <w:b w:val="0"/>
                <w:sz w:val="18"/>
              </w:rPr>
              <w:t>Production and yield trends</w:t>
            </w:r>
          </w:p>
        </w:tc>
        <w:tc>
          <w:tcPr>
            <w:tcW w:type="dxa" w:w="3264"/>
            <w:vAlign w:val="center"/>
          </w:tcPr>
          <w:p>
            <w:r/>
            <w:r>
              <w:rPr>
                <w:rFonts w:ascii="Aptos" w:hAnsi="Aptos"/>
                <w:b w:val="0"/>
                <w:sz w:val="18"/>
              </w:rPr>
              <w:t>Plan sourcing priorities and monitor supply risk</w:t>
            </w:r>
          </w:p>
        </w:tc>
      </w:tr>
      <w:tr>
        <w:tc>
          <w:tcPr>
            <w:tcW w:type="dxa" w:w="3264"/>
            <w:vAlign w:val="center"/>
          </w:tcPr>
          <w:p>
            <w:r/>
            <w:r>
              <w:rPr>
                <w:rFonts w:ascii="Aptos" w:hAnsi="Aptos"/>
                <w:b w:val="0"/>
                <w:sz w:val="18"/>
              </w:rPr>
              <w:t>Inventory / supply planning</w:t>
            </w:r>
          </w:p>
        </w:tc>
        <w:tc>
          <w:tcPr>
            <w:tcW w:type="dxa" w:w="3264"/>
            <w:vAlign w:val="center"/>
          </w:tcPr>
          <w:p>
            <w:r/>
            <w:r>
              <w:rPr>
                <w:rFonts w:ascii="Aptos" w:hAnsi="Aptos"/>
                <w:b w:val="0"/>
                <w:sz w:val="18"/>
              </w:rPr>
              <w:t>Historical output variability</w:t>
            </w:r>
          </w:p>
        </w:tc>
        <w:tc>
          <w:tcPr>
            <w:tcW w:type="dxa" w:w="3264"/>
            <w:vAlign w:val="center"/>
          </w:tcPr>
          <w:p>
            <w:r/>
            <w:r>
              <w:rPr>
                <w:rFonts w:ascii="Aptos" w:hAnsi="Aptos"/>
                <w:b w:val="0"/>
                <w:sz w:val="18"/>
              </w:rPr>
              <w:t>Identify crops with greater volatility</w:t>
            </w:r>
          </w:p>
        </w:tc>
      </w:tr>
      <w:tr>
        <w:tc>
          <w:tcPr>
            <w:tcW w:type="dxa" w:w="3264"/>
            <w:vAlign w:val="center"/>
          </w:tcPr>
          <w:p>
            <w:r/>
            <w:r>
              <w:rPr>
                <w:rFonts w:ascii="Aptos" w:hAnsi="Aptos"/>
                <w:b w:val="0"/>
                <w:sz w:val="18"/>
              </w:rPr>
              <w:t>Pricing / market intelligence</w:t>
            </w:r>
          </w:p>
        </w:tc>
        <w:tc>
          <w:tcPr>
            <w:tcW w:type="dxa" w:w="3264"/>
            <w:vAlign w:val="center"/>
          </w:tcPr>
          <w:p>
            <w:r/>
            <w:r>
              <w:rPr>
                <w:rFonts w:ascii="Aptos" w:hAnsi="Aptos"/>
                <w:b w:val="0"/>
                <w:sz w:val="18"/>
              </w:rPr>
              <w:t>Price and production movement</w:t>
            </w:r>
          </w:p>
        </w:tc>
        <w:tc>
          <w:tcPr>
            <w:tcW w:type="dxa" w:w="3264"/>
            <w:vAlign w:val="center"/>
          </w:tcPr>
          <w:p>
            <w:r/>
            <w:r>
              <w:rPr>
                <w:rFonts w:ascii="Aptos" w:hAnsi="Aptos"/>
                <w:b w:val="0"/>
                <w:sz w:val="18"/>
              </w:rPr>
              <w:t>Support monitoring and scenario discussion</w:t>
            </w:r>
          </w:p>
        </w:tc>
      </w:tr>
      <w:tr>
        <w:tc>
          <w:tcPr>
            <w:tcW w:type="dxa" w:w="3264"/>
            <w:vAlign w:val="center"/>
          </w:tcPr>
          <w:p>
            <w:r/>
            <w:r>
              <w:rPr>
                <w:rFonts w:ascii="Aptos" w:hAnsi="Aptos"/>
                <w:b w:val="0"/>
                <w:sz w:val="18"/>
              </w:rPr>
              <w:t>Agri-input strategy</w:t>
            </w:r>
          </w:p>
        </w:tc>
        <w:tc>
          <w:tcPr>
            <w:tcW w:type="dxa" w:w="3264"/>
            <w:vAlign w:val="center"/>
          </w:tcPr>
          <w:p>
            <w:r/>
            <w:r>
              <w:rPr>
                <w:rFonts w:ascii="Aptos" w:hAnsi="Aptos"/>
                <w:b w:val="0"/>
                <w:sz w:val="18"/>
              </w:rPr>
              <w:t>Yield and area patterns</w:t>
            </w:r>
          </w:p>
        </w:tc>
        <w:tc>
          <w:tcPr>
            <w:tcW w:type="dxa" w:w="3264"/>
            <w:vAlign w:val="center"/>
          </w:tcPr>
          <w:p>
            <w:r/>
            <w:r>
              <w:rPr>
                <w:rFonts w:ascii="Aptos" w:hAnsi="Aptos"/>
                <w:b w:val="0"/>
                <w:sz w:val="18"/>
              </w:rPr>
              <w:t>Identify crops/regions that may merit deeper study</w:t>
            </w:r>
          </w:p>
        </w:tc>
      </w:tr>
      <w:tr>
        <w:tc>
          <w:tcPr>
            <w:tcW w:type="dxa" w:w="3264"/>
            <w:vAlign w:val="center"/>
          </w:tcPr>
          <w:p>
            <w:r/>
            <w:r>
              <w:rPr>
                <w:rFonts w:ascii="Aptos" w:hAnsi="Aptos"/>
                <w:b w:val="0"/>
                <w:sz w:val="18"/>
              </w:rPr>
              <w:t>Investment / expansion</w:t>
            </w:r>
          </w:p>
        </w:tc>
        <w:tc>
          <w:tcPr>
            <w:tcW w:type="dxa" w:w="3264"/>
            <w:vAlign w:val="center"/>
          </w:tcPr>
          <w:p>
            <w:r/>
            <w:r>
              <w:rPr>
                <w:rFonts w:ascii="Aptos" w:hAnsi="Aptos"/>
                <w:b w:val="0"/>
                <w:sz w:val="18"/>
              </w:rPr>
              <w:t>Long-term growth and productivity</w:t>
            </w:r>
          </w:p>
        </w:tc>
        <w:tc>
          <w:tcPr>
            <w:tcW w:type="dxa" w:w="3264"/>
            <w:vAlign w:val="center"/>
          </w:tcPr>
          <w:p>
            <w:r/>
            <w:r>
              <w:rPr>
                <w:rFonts w:ascii="Aptos" w:hAnsi="Aptos"/>
                <w:b w:val="0"/>
                <w:sz w:val="18"/>
              </w:rPr>
              <w:t>Prioritize opportunities for detailed feasibility analysis</w:t>
            </w:r>
          </w:p>
        </w:tc>
      </w:tr>
    </w:tbl>
    <w:p>
      <w:pPr>
        <w:pStyle w:val="Heading2"/>
      </w:pPr>
      <w:r>
        <w:t>Expected Insights</w:t>
      </w:r>
    </w:p>
    <w:p>
      <w:pPr>
        <w:pStyle w:val="ListBullet"/>
        <w:ind w:left="360"/>
      </w:pPr>
      <w:r>
        <w:t>Identification of crops with sustained production growth or decline.</w:t>
      </w:r>
    </w:p>
    <w:p>
      <w:pPr>
        <w:pStyle w:val="ListBullet"/>
        <w:ind w:left="360"/>
      </w:pPr>
      <w:r>
        <w:t>Separation of area-driven growth from productivity-driven growth.</w:t>
      </w:r>
    </w:p>
    <w:p>
      <w:pPr>
        <w:pStyle w:val="ListBullet"/>
        <w:ind w:left="360"/>
      </w:pPr>
      <w:r>
        <w:t>Identification of highly variable commodities that may represent higher supply risk.</w:t>
      </w:r>
    </w:p>
    <w:p>
      <w:pPr>
        <w:pStyle w:val="ListBullet"/>
        <w:ind w:left="360"/>
      </w:pPr>
      <w:r>
        <w:t>Evidence for selecting variables and crops for a future forecasting model.</w:t>
      </w:r>
    </w:p>
    <w:p>
      <w:pPr>
        <w:pStyle w:val="ListBullet"/>
        <w:ind w:left="360"/>
      </w:pPr>
      <w:r>
        <w:t>A reusable analytical dataset and documented Python workflow.</w:t>
      </w:r>
    </w:p>
    <w:p>
      <w:pPr>
        <w:pStyle w:val="Heading1"/>
      </w:pPr>
      <w:r>
        <w:t>6. Challenges, Risks, and Mitigation</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AF7"/>
          </w:tcPr>
          <w:p>
            <w:r/>
            <w:r>
              <w:rPr>
                <w:rFonts w:ascii="Aptos" w:hAnsi="Aptos"/>
                <w:b/>
                <w:sz w:val="18"/>
              </w:rPr>
              <w:t>Risk / Challenge</w:t>
            </w:r>
          </w:p>
        </w:tc>
        <w:tc>
          <w:tcPr>
            <w:tcW w:type="dxa" w:w="3264"/>
            <w:vAlign w:val="center"/>
            <w:shd w:fill="D9EAF7"/>
          </w:tcPr>
          <w:p>
            <w:r/>
            <w:r>
              <w:rPr>
                <w:rFonts w:ascii="Aptos" w:hAnsi="Aptos"/>
                <w:b/>
                <w:sz w:val="18"/>
              </w:rPr>
              <w:t>Impact</w:t>
            </w:r>
          </w:p>
        </w:tc>
        <w:tc>
          <w:tcPr>
            <w:tcW w:type="dxa" w:w="3264"/>
            <w:vAlign w:val="center"/>
            <w:shd w:fill="D9EAF7"/>
          </w:tcPr>
          <w:p>
            <w:r/>
            <w:r>
              <w:rPr>
                <w:rFonts w:ascii="Aptos" w:hAnsi="Aptos"/>
                <w:b/>
                <w:sz w:val="18"/>
              </w:rPr>
              <w:t>Mitigation</w:t>
            </w:r>
          </w:p>
        </w:tc>
      </w:tr>
      <w:tr>
        <w:tc>
          <w:tcPr>
            <w:tcW w:type="dxa" w:w="3264"/>
            <w:vAlign w:val="center"/>
          </w:tcPr>
          <w:p>
            <w:r/>
            <w:r>
              <w:rPr>
                <w:rFonts w:ascii="Aptos" w:hAnsi="Aptos"/>
                <w:b w:val="0"/>
                <w:sz w:val="18"/>
              </w:rPr>
              <w:t>Missing or inconsistent observations</w:t>
            </w:r>
          </w:p>
        </w:tc>
        <w:tc>
          <w:tcPr>
            <w:tcW w:type="dxa" w:w="3264"/>
            <w:vAlign w:val="center"/>
          </w:tcPr>
          <w:p>
            <w:r/>
            <w:r>
              <w:rPr>
                <w:rFonts w:ascii="Aptos" w:hAnsi="Aptos"/>
                <w:b w:val="0"/>
                <w:sz w:val="18"/>
              </w:rPr>
              <w:t>Biased trend analysis</w:t>
            </w:r>
          </w:p>
        </w:tc>
        <w:tc>
          <w:tcPr>
            <w:tcW w:type="dxa" w:w="3264"/>
            <w:vAlign w:val="center"/>
          </w:tcPr>
          <w:p>
            <w:r/>
            <w:r>
              <w:rPr>
                <w:rFonts w:ascii="Aptos" w:hAnsi="Aptos"/>
                <w:b w:val="0"/>
                <w:sz w:val="18"/>
              </w:rPr>
              <w:t>Profile missingness; document rules; avoid unjustified imputation</w:t>
            </w:r>
          </w:p>
        </w:tc>
      </w:tr>
      <w:tr>
        <w:tc>
          <w:tcPr>
            <w:tcW w:type="dxa" w:w="3264"/>
            <w:vAlign w:val="center"/>
          </w:tcPr>
          <w:p>
            <w:r/>
            <w:r>
              <w:rPr>
                <w:rFonts w:ascii="Aptos" w:hAnsi="Aptos"/>
                <w:b w:val="0"/>
                <w:sz w:val="18"/>
              </w:rPr>
              <w:t>Different units / definitions</w:t>
            </w:r>
          </w:p>
        </w:tc>
        <w:tc>
          <w:tcPr>
            <w:tcW w:type="dxa" w:w="3264"/>
            <w:vAlign w:val="center"/>
          </w:tcPr>
          <w:p>
            <w:r/>
            <w:r>
              <w:rPr>
                <w:rFonts w:ascii="Aptos" w:hAnsi="Aptos"/>
                <w:b w:val="0"/>
                <w:sz w:val="18"/>
              </w:rPr>
              <w:t>Invalid comparisons</w:t>
            </w:r>
          </w:p>
        </w:tc>
        <w:tc>
          <w:tcPr>
            <w:tcW w:type="dxa" w:w="3264"/>
            <w:vAlign w:val="center"/>
          </w:tcPr>
          <w:p>
            <w:r/>
            <w:r>
              <w:rPr>
                <w:rFonts w:ascii="Aptos" w:hAnsi="Aptos"/>
                <w:b w:val="0"/>
                <w:sz w:val="18"/>
              </w:rPr>
              <w:t>Use metadata and standardize only when definitions are compatible</w:t>
            </w:r>
          </w:p>
        </w:tc>
      </w:tr>
      <w:tr>
        <w:tc>
          <w:tcPr>
            <w:tcW w:type="dxa" w:w="3264"/>
            <w:vAlign w:val="center"/>
          </w:tcPr>
          <w:p>
            <w:r/>
            <w:r>
              <w:rPr>
                <w:rFonts w:ascii="Aptos" w:hAnsi="Aptos"/>
                <w:b w:val="0"/>
                <w:sz w:val="18"/>
              </w:rPr>
              <w:t>Changes in methodology or coverage</w:t>
            </w:r>
          </w:p>
        </w:tc>
        <w:tc>
          <w:tcPr>
            <w:tcW w:type="dxa" w:w="3264"/>
            <w:vAlign w:val="center"/>
          </w:tcPr>
          <w:p>
            <w:r/>
            <w:r>
              <w:rPr>
                <w:rFonts w:ascii="Aptos" w:hAnsi="Aptos"/>
                <w:b w:val="0"/>
                <w:sz w:val="18"/>
              </w:rPr>
              <w:t>False trend signals</w:t>
            </w:r>
          </w:p>
        </w:tc>
        <w:tc>
          <w:tcPr>
            <w:tcW w:type="dxa" w:w="3264"/>
            <w:vAlign w:val="center"/>
          </w:tcPr>
          <w:p>
            <w:r/>
            <w:r>
              <w:rPr>
                <w:rFonts w:ascii="Aptos" w:hAnsi="Aptos"/>
                <w:b w:val="0"/>
                <w:sz w:val="18"/>
              </w:rPr>
              <w:t>Check source notes and annotate structural breaks</w:t>
            </w:r>
          </w:p>
        </w:tc>
      </w:tr>
      <w:tr>
        <w:tc>
          <w:tcPr>
            <w:tcW w:type="dxa" w:w="3264"/>
            <w:vAlign w:val="center"/>
          </w:tcPr>
          <w:p>
            <w:r/>
            <w:r>
              <w:rPr>
                <w:rFonts w:ascii="Aptos" w:hAnsi="Aptos"/>
                <w:b w:val="0"/>
                <w:sz w:val="18"/>
              </w:rPr>
              <w:t>Limited sub-national consistency</w:t>
            </w:r>
          </w:p>
        </w:tc>
        <w:tc>
          <w:tcPr>
            <w:tcW w:type="dxa" w:w="3264"/>
            <w:vAlign w:val="center"/>
          </w:tcPr>
          <w:p>
            <w:r/>
            <w:r>
              <w:rPr>
                <w:rFonts w:ascii="Aptos" w:hAnsi="Aptos"/>
                <w:b w:val="0"/>
                <w:sz w:val="18"/>
              </w:rPr>
              <w:t>Weak regional comparison</w:t>
            </w:r>
          </w:p>
        </w:tc>
        <w:tc>
          <w:tcPr>
            <w:tcW w:type="dxa" w:w="3264"/>
            <w:vAlign w:val="center"/>
          </w:tcPr>
          <w:p>
            <w:r/>
            <w:r>
              <w:rPr>
                <w:rFonts w:ascii="Aptos" w:hAnsi="Aptos"/>
                <w:b w:val="0"/>
                <w:sz w:val="18"/>
              </w:rPr>
              <w:t>Use a smaller consistent geography rather than mixing incompatible datasets</w:t>
            </w:r>
          </w:p>
        </w:tc>
      </w:tr>
      <w:tr>
        <w:tc>
          <w:tcPr>
            <w:tcW w:type="dxa" w:w="3264"/>
            <w:vAlign w:val="center"/>
          </w:tcPr>
          <w:p>
            <w:r/>
            <w:r>
              <w:rPr>
                <w:rFonts w:ascii="Aptos" w:hAnsi="Aptos"/>
                <w:b w:val="0"/>
                <w:sz w:val="18"/>
              </w:rPr>
              <w:t>Correlation mistaken for causation</w:t>
            </w:r>
          </w:p>
        </w:tc>
        <w:tc>
          <w:tcPr>
            <w:tcW w:type="dxa" w:w="3264"/>
            <w:vAlign w:val="center"/>
          </w:tcPr>
          <w:p>
            <w:r/>
            <w:r>
              <w:rPr>
                <w:rFonts w:ascii="Aptos" w:hAnsi="Aptos"/>
                <w:b w:val="0"/>
                <w:sz w:val="18"/>
              </w:rPr>
              <w:t>Poor business conclusions</w:t>
            </w:r>
          </w:p>
        </w:tc>
        <w:tc>
          <w:tcPr>
            <w:tcW w:type="dxa" w:w="3264"/>
            <w:vAlign w:val="center"/>
          </w:tcPr>
          <w:p>
            <w:r/>
            <w:r>
              <w:rPr>
                <w:rFonts w:ascii="Aptos" w:hAnsi="Aptos"/>
                <w:b w:val="0"/>
                <w:sz w:val="18"/>
              </w:rPr>
              <w:t>Use cautious language and treat causal claims as out of scope</w:t>
            </w:r>
          </w:p>
        </w:tc>
      </w:tr>
      <w:tr>
        <w:tc>
          <w:tcPr>
            <w:tcW w:type="dxa" w:w="3264"/>
            <w:vAlign w:val="center"/>
          </w:tcPr>
          <w:p>
            <w:r/>
            <w:r>
              <w:rPr>
                <w:rFonts w:ascii="Aptos" w:hAnsi="Aptos"/>
                <w:b w:val="0"/>
                <w:sz w:val="18"/>
              </w:rPr>
              <w:t>Overfitting in ML models</w:t>
            </w:r>
          </w:p>
        </w:tc>
        <w:tc>
          <w:tcPr>
            <w:tcW w:type="dxa" w:w="3264"/>
            <w:vAlign w:val="center"/>
          </w:tcPr>
          <w:p>
            <w:r/>
            <w:r>
              <w:rPr>
                <w:rFonts w:ascii="Aptos" w:hAnsi="Aptos"/>
                <w:b w:val="0"/>
                <w:sz w:val="18"/>
              </w:rPr>
              <w:t>Poor generalization</w:t>
            </w:r>
          </w:p>
        </w:tc>
        <w:tc>
          <w:tcPr>
            <w:tcW w:type="dxa" w:w="3264"/>
            <w:vAlign w:val="center"/>
          </w:tcPr>
          <w:p>
            <w:r/>
            <w:r>
              <w:rPr>
                <w:rFonts w:ascii="Aptos" w:hAnsi="Aptos"/>
                <w:b w:val="0"/>
                <w:sz w:val="18"/>
              </w:rPr>
              <w:t>Use baselines, time-aware validation, and feature discipline</w:t>
            </w:r>
          </w:p>
        </w:tc>
      </w:tr>
      <w:tr>
        <w:tc>
          <w:tcPr>
            <w:tcW w:type="dxa" w:w="3264"/>
            <w:vAlign w:val="center"/>
          </w:tcPr>
          <w:p>
            <w:r/>
            <w:r>
              <w:rPr>
                <w:rFonts w:ascii="Aptos" w:hAnsi="Aptos"/>
                <w:b w:val="0"/>
                <w:sz w:val="18"/>
              </w:rPr>
              <w:t>Data freshness</w:t>
            </w:r>
          </w:p>
        </w:tc>
        <w:tc>
          <w:tcPr>
            <w:tcW w:type="dxa" w:w="3264"/>
            <w:vAlign w:val="center"/>
          </w:tcPr>
          <w:p>
            <w:r/>
            <w:r>
              <w:rPr>
                <w:rFonts w:ascii="Aptos" w:hAnsi="Aptos"/>
                <w:b w:val="0"/>
                <w:sz w:val="18"/>
              </w:rPr>
              <w:t>Outdated decisions</w:t>
            </w:r>
          </w:p>
        </w:tc>
        <w:tc>
          <w:tcPr>
            <w:tcW w:type="dxa" w:w="3264"/>
            <w:vAlign w:val="center"/>
          </w:tcPr>
          <w:p>
            <w:r/>
            <w:r>
              <w:rPr>
                <w:rFonts w:ascii="Aptos" w:hAnsi="Aptos"/>
                <w:b w:val="0"/>
                <w:sz w:val="18"/>
              </w:rPr>
              <w:t>Record download dates and source update cycles</w:t>
            </w:r>
          </w:p>
        </w:tc>
      </w:tr>
    </w:tbl>
    <w:p>
      <w:pPr>
        <w:pStyle w:val="Heading1"/>
      </w:pPr>
      <w:r>
        <w:t>7. Tools and Software</w:t>
      </w:r>
    </w:p>
    <w:p>
      <w:pPr>
        <w:pStyle w:val="ListBullet"/>
        <w:ind w:left="360"/>
      </w:pPr>
      <w:r>
        <w:t>Python 3.x for data processing and analysis.</w:t>
      </w:r>
    </w:p>
    <w:p>
      <w:pPr>
        <w:pStyle w:val="ListBullet"/>
        <w:ind w:left="360"/>
      </w:pPr>
      <w:r>
        <w:t>Pandas and NumPy for data manipulation and numerical operations.</w:t>
      </w:r>
    </w:p>
    <w:p>
      <w:pPr>
        <w:pStyle w:val="ListBullet"/>
        <w:ind w:left="360"/>
      </w:pPr>
      <w:r>
        <w:t>Matplotlib and Seaborn for exploratory visualization.</w:t>
      </w:r>
    </w:p>
    <w:p>
      <w:pPr>
        <w:pStyle w:val="ListBullet"/>
        <w:ind w:left="360"/>
      </w:pPr>
      <w:r>
        <w:t>Scikit-learn for preprocessing, baseline modeling, and evaluation.</w:t>
      </w:r>
    </w:p>
    <w:p>
      <w:pPr>
        <w:pStyle w:val="ListBullet"/>
        <w:ind w:left="360"/>
      </w:pPr>
      <w:r>
        <w:t>Jupyter Notebook or Spyder for interactive analysis and development.</w:t>
      </w:r>
    </w:p>
    <w:p>
      <w:pPr>
        <w:pStyle w:val="ListBullet"/>
        <w:ind w:left="360"/>
      </w:pPr>
      <w:r>
        <w:t>Git and GitHub for version control, project documentation, and reproducibility.</w:t>
      </w:r>
    </w:p>
    <w:p>
      <w:pPr>
        <w:pStyle w:val="ListBullet"/>
        <w:ind w:left="360"/>
      </w:pPr>
      <w:r>
        <w:t>Optional: Streamlit for a final interactive dashboard if project scope and data quality permit.</w:t>
      </w:r>
    </w:p>
    <w:p>
      <w:pPr>
        <w:pStyle w:val="Heading1"/>
      </w:pPr>
      <w:r>
        <w:t>8. Internship Timeline and Milestones</w:t>
      </w:r>
    </w:p>
    <w:tbl>
      <w:tblPr>
        <w:tblStyle w:val="TableGrid"/>
        <w:tblW w:type="auto" w:w="0"/>
        <w:tblLook w:firstColumn="1" w:firstRow="1" w:lastColumn="0" w:lastRow="0" w:noHBand="0" w:noVBand="1" w:val="04A0"/>
      </w:tblPr>
      <w:tblGrid>
        <w:gridCol w:w="2448"/>
        <w:gridCol w:w="2448"/>
        <w:gridCol w:w="2448"/>
        <w:gridCol w:w="2448"/>
      </w:tblGrid>
      <w:tr>
        <w:tc>
          <w:tcPr>
            <w:tcW w:type="dxa" w:w="2448"/>
            <w:vAlign w:val="center"/>
            <w:shd w:fill="D9EAF7"/>
          </w:tcPr>
          <w:p>
            <w:r/>
            <w:r>
              <w:rPr>
                <w:rFonts w:ascii="Aptos" w:hAnsi="Aptos"/>
                <w:b/>
                <w:sz w:val="18"/>
              </w:rPr>
              <w:t>Phase</w:t>
            </w:r>
          </w:p>
        </w:tc>
        <w:tc>
          <w:tcPr>
            <w:tcW w:type="dxa" w:w="2448"/>
            <w:vAlign w:val="center"/>
            <w:shd w:fill="D9EAF7"/>
          </w:tcPr>
          <w:p>
            <w:r/>
            <w:r>
              <w:rPr>
                <w:rFonts w:ascii="Aptos" w:hAnsi="Aptos"/>
                <w:b/>
                <w:sz w:val="18"/>
              </w:rPr>
              <w:t>Approx. Timing</w:t>
            </w:r>
          </w:p>
        </w:tc>
        <w:tc>
          <w:tcPr>
            <w:tcW w:type="dxa" w:w="2448"/>
            <w:vAlign w:val="center"/>
            <w:shd w:fill="D9EAF7"/>
          </w:tcPr>
          <w:p>
            <w:r/>
            <w:r>
              <w:rPr>
                <w:rFonts w:ascii="Aptos" w:hAnsi="Aptos"/>
                <w:b/>
                <w:sz w:val="18"/>
              </w:rPr>
              <w:t>Activities</w:t>
            </w:r>
          </w:p>
        </w:tc>
        <w:tc>
          <w:tcPr>
            <w:tcW w:type="dxa" w:w="2448"/>
            <w:vAlign w:val="center"/>
            <w:shd w:fill="D9EAF7"/>
          </w:tcPr>
          <w:p>
            <w:r/>
            <w:r>
              <w:rPr>
                <w:rFonts w:ascii="Aptos" w:hAnsi="Aptos"/>
                <w:b/>
                <w:sz w:val="18"/>
              </w:rPr>
              <w:t>Deliverable</w:t>
            </w:r>
          </w:p>
        </w:tc>
      </w:tr>
      <w:tr>
        <w:tc>
          <w:tcPr>
            <w:tcW w:type="dxa" w:w="2448"/>
            <w:vAlign w:val="center"/>
          </w:tcPr>
          <w:p>
            <w:r/>
            <w:r>
              <w:rPr>
                <w:rFonts w:ascii="Aptos" w:hAnsi="Aptos"/>
                <w:b w:val="0"/>
                <w:sz w:val="18"/>
              </w:rPr>
              <w:t>Week 1</w:t>
            </w:r>
          </w:p>
        </w:tc>
        <w:tc>
          <w:tcPr>
            <w:tcW w:type="dxa" w:w="2448"/>
            <w:vAlign w:val="center"/>
          </w:tcPr>
          <w:p>
            <w:r/>
            <w:r>
              <w:rPr>
                <w:rFonts w:ascii="Aptos" w:hAnsi="Aptos"/>
                <w:b w:val="0"/>
                <w:sz w:val="18"/>
              </w:rPr>
              <w:t>Days 1–5</w:t>
            </w:r>
          </w:p>
        </w:tc>
        <w:tc>
          <w:tcPr>
            <w:tcW w:type="dxa" w:w="2448"/>
            <w:vAlign w:val="center"/>
          </w:tcPr>
          <w:p>
            <w:r/>
            <w:r>
              <w:rPr>
                <w:rFonts w:ascii="Aptos" w:hAnsi="Aptos"/>
                <w:b w:val="0"/>
                <w:sz w:val="18"/>
              </w:rPr>
              <w:t>Problem definition, source review, EDA plan, methodology</w:t>
            </w:r>
          </w:p>
        </w:tc>
        <w:tc>
          <w:tcPr>
            <w:tcW w:type="dxa" w:w="2448"/>
            <w:vAlign w:val="center"/>
          </w:tcPr>
          <w:p>
            <w:r/>
            <w:r>
              <w:rPr>
                <w:rFonts w:ascii="Aptos" w:hAnsi="Aptos"/>
                <w:b w:val="0"/>
                <w:sz w:val="18"/>
              </w:rPr>
              <w:t>This strategy report</w:t>
            </w:r>
          </w:p>
        </w:tc>
      </w:tr>
      <w:tr>
        <w:tc>
          <w:tcPr>
            <w:tcW w:type="dxa" w:w="2448"/>
            <w:vAlign w:val="center"/>
          </w:tcPr>
          <w:p>
            <w:r/>
            <w:r>
              <w:rPr>
                <w:rFonts w:ascii="Aptos" w:hAnsi="Aptos"/>
                <w:b w:val="0"/>
                <w:sz w:val="18"/>
              </w:rPr>
              <w:t>Week 2</w:t>
            </w:r>
          </w:p>
        </w:tc>
        <w:tc>
          <w:tcPr>
            <w:tcW w:type="dxa" w:w="2448"/>
            <w:vAlign w:val="center"/>
          </w:tcPr>
          <w:p>
            <w:r/>
            <w:r>
              <w:rPr>
                <w:rFonts w:ascii="Aptos" w:hAnsi="Aptos"/>
                <w:b w:val="0"/>
                <w:sz w:val="18"/>
              </w:rPr>
              <w:t>Days 6–10</w:t>
            </w:r>
          </w:p>
        </w:tc>
        <w:tc>
          <w:tcPr>
            <w:tcW w:type="dxa" w:w="2448"/>
            <w:vAlign w:val="center"/>
          </w:tcPr>
          <w:p>
            <w:r/>
            <w:r>
              <w:rPr>
                <w:rFonts w:ascii="Aptos" w:hAnsi="Aptos"/>
                <w:b w:val="0"/>
                <w:sz w:val="18"/>
              </w:rPr>
              <w:t>Data acquisition, cleaning, data dictionary, initial EDA</w:t>
            </w:r>
          </w:p>
        </w:tc>
        <w:tc>
          <w:tcPr>
            <w:tcW w:type="dxa" w:w="2448"/>
            <w:vAlign w:val="center"/>
          </w:tcPr>
          <w:p>
            <w:r/>
            <w:r>
              <w:rPr>
                <w:rFonts w:ascii="Aptos" w:hAnsi="Aptos"/>
                <w:b w:val="0"/>
                <w:sz w:val="18"/>
              </w:rPr>
              <w:t>Clean dataset + notebook</w:t>
            </w:r>
          </w:p>
        </w:tc>
      </w:tr>
      <w:tr>
        <w:tc>
          <w:tcPr>
            <w:tcW w:type="dxa" w:w="2448"/>
            <w:vAlign w:val="center"/>
          </w:tcPr>
          <w:p>
            <w:r/>
            <w:r>
              <w:rPr>
                <w:rFonts w:ascii="Aptos" w:hAnsi="Aptos"/>
                <w:b w:val="0"/>
                <w:sz w:val="18"/>
              </w:rPr>
              <w:t>Week 3</w:t>
            </w:r>
          </w:p>
        </w:tc>
        <w:tc>
          <w:tcPr>
            <w:tcW w:type="dxa" w:w="2448"/>
            <w:vAlign w:val="center"/>
          </w:tcPr>
          <w:p>
            <w:r/>
            <w:r>
              <w:rPr>
                <w:rFonts w:ascii="Aptos" w:hAnsi="Aptos"/>
                <w:b w:val="0"/>
                <w:sz w:val="18"/>
              </w:rPr>
              <w:t>Days 11–15</w:t>
            </w:r>
          </w:p>
        </w:tc>
        <w:tc>
          <w:tcPr>
            <w:tcW w:type="dxa" w:w="2448"/>
            <w:vAlign w:val="center"/>
          </w:tcPr>
          <w:p>
            <w:r/>
            <w:r>
              <w:rPr>
                <w:rFonts w:ascii="Aptos" w:hAnsi="Aptos"/>
                <w:b w:val="0"/>
                <w:sz w:val="18"/>
              </w:rPr>
              <w:t>Trend analysis, feature engineering, visualization</w:t>
            </w:r>
          </w:p>
        </w:tc>
        <w:tc>
          <w:tcPr>
            <w:tcW w:type="dxa" w:w="2448"/>
            <w:vAlign w:val="center"/>
          </w:tcPr>
          <w:p>
            <w:r/>
            <w:r>
              <w:rPr>
                <w:rFonts w:ascii="Aptos" w:hAnsi="Aptos"/>
                <w:b w:val="0"/>
                <w:sz w:val="18"/>
              </w:rPr>
              <w:t>EDA findings + charts</w:t>
            </w:r>
          </w:p>
        </w:tc>
      </w:tr>
      <w:tr>
        <w:tc>
          <w:tcPr>
            <w:tcW w:type="dxa" w:w="2448"/>
            <w:vAlign w:val="center"/>
          </w:tcPr>
          <w:p>
            <w:r/>
            <w:r>
              <w:rPr>
                <w:rFonts w:ascii="Aptos" w:hAnsi="Aptos"/>
                <w:b w:val="0"/>
                <w:sz w:val="18"/>
              </w:rPr>
              <w:t>Week 4</w:t>
            </w:r>
          </w:p>
        </w:tc>
        <w:tc>
          <w:tcPr>
            <w:tcW w:type="dxa" w:w="2448"/>
            <w:vAlign w:val="center"/>
          </w:tcPr>
          <w:p>
            <w:r/>
            <w:r>
              <w:rPr>
                <w:rFonts w:ascii="Aptos" w:hAnsi="Aptos"/>
                <w:b w:val="0"/>
                <w:sz w:val="18"/>
              </w:rPr>
              <w:t>Days 16–20</w:t>
            </w:r>
          </w:p>
        </w:tc>
        <w:tc>
          <w:tcPr>
            <w:tcW w:type="dxa" w:w="2448"/>
            <w:vAlign w:val="center"/>
          </w:tcPr>
          <w:p>
            <w:r/>
            <w:r>
              <w:rPr>
                <w:rFonts w:ascii="Aptos" w:hAnsi="Aptos"/>
                <w:b w:val="0"/>
                <w:sz w:val="18"/>
              </w:rPr>
              <w:t>Baseline statistical/predictive models</w:t>
            </w:r>
          </w:p>
        </w:tc>
        <w:tc>
          <w:tcPr>
            <w:tcW w:type="dxa" w:w="2448"/>
            <w:vAlign w:val="center"/>
          </w:tcPr>
          <w:p>
            <w:r/>
            <w:r>
              <w:rPr>
                <w:rFonts w:ascii="Aptos" w:hAnsi="Aptos"/>
                <w:b w:val="0"/>
                <w:sz w:val="18"/>
              </w:rPr>
              <w:t>Model notebook + metrics</w:t>
            </w:r>
          </w:p>
        </w:tc>
      </w:tr>
      <w:tr>
        <w:tc>
          <w:tcPr>
            <w:tcW w:type="dxa" w:w="2448"/>
            <w:vAlign w:val="center"/>
          </w:tcPr>
          <w:p>
            <w:r/>
            <w:r>
              <w:rPr>
                <w:rFonts w:ascii="Aptos" w:hAnsi="Aptos"/>
                <w:b w:val="0"/>
                <w:sz w:val="18"/>
              </w:rPr>
              <w:t>Week 5</w:t>
            </w:r>
          </w:p>
        </w:tc>
        <w:tc>
          <w:tcPr>
            <w:tcW w:type="dxa" w:w="2448"/>
            <w:vAlign w:val="center"/>
          </w:tcPr>
          <w:p>
            <w:r/>
            <w:r>
              <w:rPr>
                <w:rFonts w:ascii="Aptos" w:hAnsi="Aptos"/>
                <w:b w:val="0"/>
                <w:sz w:val="18"/>
              </w:rPr>
              <w:t>Days 21–25</w:t>
            </w:r>
          </w:p>
        </w:tc>
        <w:tc>
          <w:tcPr>
            <w:tcW w:type="dxa" w:w="2448"/>
            <w:vAlign w:val="center"/>
          </w:tcPr>
          <w:p>
            <w:r/>
            <w:r>
              <w:rPr>
                <w:rFonts w:ascii="Aptos" w:hAnsi="Aptos"/>
                <w:b w:val="0"/>
                <w:sz w:val="18"/>
              </w:rPr>
              <w:t>Model comparison, error analysis, business interpretation</w:t>
            </w:r>
          </w:p>
        </w:tc>
        <w:tc>
          <w:tcPr>
            <w:tcW w:type="dxa" w:w="2448"/>
            <w:vAlign w:val="center"/>
          </w:tcPr>
          <w:p>
            <w:r/>
            <w:r>
              <w:rPr>
                <w:rFonts w:ascii="Aptos" w:hAnsi="Aptos"/>
                <w:b w:val="0"/>
                <w:sz w:val="18"/>
              </w:rPr>
              <w:t>Model evaluation report</w:t>
            </w:r>
          </w:p>
        </w:tc>
      </w:tr>
      <w:tr>
        <w:tc>
          <w:tcPr>
            <w:tcW w:type="dxa" w:w="2448"/>
            <w:vAlign w:val="center"/>
          </w:tcPr>
          <w:p>
            <w:r/>
            <w:r>
              <w:rPr>
                <w:rFonts w:ascii="Aptos" w:hAnsi="Aptos"/>
                <w:b w:val="0"/>
                <w:sz w:val="18"/>
              </w:rPr>
              <w:t>Week 6+</w:t>
            </w:r>
          </w:p>
        </w:tc>
        <w:tc>
          <w:tcPr>
            <w:tcW w:type="dxa" w:w="2448"/>
            <w:vAlign w:val="center"/>
          </w:tcPr>
          <w:p>
            <w:r/>
            <w:r>
              <w:rPr>
                <w:rFonts w:ascii="Aptos" w:hAnsi="Aptos"/>
                <w:b w:val="0"/>
                <w:sz w:val="18"/>
              </w:rPr>
              <w:t>As assigned</w:t>
            </w:r>
          </w:p>
        </w:tc>
        <w:tc>
          <w:tcPr>
            <w:tcW w:type="dxa" w:w="2448"/>
            <w:vAlign w:val="center"/>
          </w:tcPr>
          <w:p>
            <w:r/>
            <w:r>
              <w:rPr>
                <w:rFonts w:ascii="Aptos" w:hAnsi="Aptos"/>
                <w:b w:val="0"/>
                <w:sz w:val="18"/>
              </w:rPr>
              <w:t>Dashboard, documentation, refinement, final presentation</w:t>
            </w:r>
          </w:p>
        </w:tc>
        <w:tc>
          <w:tcPr>
            <w:tcW w:type="dxa" w:w="2448"/>
            <w:vAlign w:val="center"/>
          </w:tcPr>
          <w:p>
            <w:r/>
            <w:r>
              <w:rPr>
                <w:rFonts w:ascii="Aptos" w:hAnsi="Aptos"/>
                <w:b w:val="0"/>
                <w:sz w:val="18"/>
              </w:rPr>
              <w:t>Final project package</w:t>
            </w:r>
          </w:p>
        </w:tc>
      </w:tr>
    </w:tbl>
    <w:p>
      <w:pPr>
        <w:pStyle w:val="Heading1"/>
      </w:pPr>
      <w:r>
        <w:t>9. Evaluation and Quality Criteria</w:t>
      </w:r>
    </w:p>
    <w:p>
      <w:pPr>
        <w:pStyle w:val="ListBullet"/>
        <w:ind w:left="360"/>
      </w:pPr>
      <w:r>
        <w:t>Clarity: every analytical step has a stated purpose.</w:t>
      </w:r>
    </w:p>
    <w:p>
      <w:pPr>
        <w:pStyle w:val="ListBullet"/>
        <w:ind w:left="360"/>
      </w:pPr>
      <w:r>
        <w:t>Completeness: data, methodology, business context, risks, tools, and timeline are covered.</w:t>
      </w:r>
    </w:p>
    <w:p>
      <w:pPr>
        <w:pStyle w:val="ListBullet"/>
        <w:ind w:left="360"/>
      </w:pPr>
      <w:r>
        <w:t>Reproducibility: source information and transformations are documented.</w:t>
      </w:r>
    </w:p>
    <w:p>
      <w:pPr>
        <w:pStyle w:val="ListBullet"/>
        <w:ind w:left="360"/>
      </w:pPr>
      <w:r>
        <w:t>Analytical depth: trends are quantified and interpreted, not merely plotted.</w:t>
      </w:r>
    </w:p>
    <w:p>
      <w:pPr>
        <w:pStyle w:val="ListBullet"/>
        <w:ind w:left="360"/>
      </w:pPr>
      <w:r>
        <w:t>Domain alignment: findings are connected to realistic agribusiness decisions.</w:t>
      </w:r>
    </w:p>
    <w:p>
      <w:pPr>
        <w:pStyle w:val="ListBullet"/>
        <w:ind w:left="360"/>
      </w:pPr>
      <w:r>
        <w:t>Model discipline: baseline methods and validation precede complex algorithms.</w:t>
      </w:r>
    </w:p>
    <w:p>
      <w:pPr>
        <w:pStyle w:val="ListBullet"/>
        <w:ind w:left="360"/>
      </w:pPr>
      <w:r>
        <w:t>Professional presentation: consistent headings, tables, references, and clear language.</w:t>
      </w:r>
    </w:p>
    <w:p>
      <w:pPr>
        <w:pStyle w:val="Heading1"/>
      </w:pPr>
      <w:r>
        <w:t>10. Conclusion and Expected Outcomes</w:t>
      </w:r>
    </w:p>
    <w:p>
      <w:r>
        <w:t>This strategy establishes a practical pathway from public agricultural data to decision-oriented data science. The first priority is trustworthy exploration: understanding the structure, quality, definitions, and historical behavior of the data. Once this foundation is stable, statistical analysis and predictive modeling can be introduced with clear validation and business interpretation.</w:t>
      </w:r>
    </w:p>
    <w:p>
      <w:r>
        <w:t>By the end of the internship project, the expected outcome is a reproducible agriculture analytics workflow that includes documented data sources, cleaned datasets, exploratory visualizations, quantified trends, baseline predictive models where justified, and a concise set of agribusiness insights. The strategy is deliberately scalable: it can begin with a focused set of crops and indicators and later expand to additional commodities, regional data, weather variables, or market signals.</w:t>
      </w:r>
    </w:p>
    <w:p>
      <w:pPr>
        <w:pStyle w:val="Heading1"/>
      </w:pPr>
      <w:r>
        <w:t>11. References and Public Data Sources</w:t>
      </w:r>
    </w:p>
    <w:p>
      <w:pPr>
        <w:pStyle w:val="ListBullet"/>
      </w:pPr>
      <w:r>
        <w:t>Food and Agriculture Organization (FAO), FAOSTAT and Agriculture Statistics: https://www.fao.org/statistics/</w:t>
      </w:r>
    </w:p>
    <w:p>
      <w:pPr>
        <w:pStyle w:val="ListBullet"/>
      </w:pPr>
      <w:r>
        <w:t>FAO, Agricultural production statistics 2010–2025 (December 2025 update): https://www.fao.org/statistics/events/events-detail/agricultural-production-statistics-2010-2025.-december-2025-update/</w:t>
      </w:r>
    </w:p>
    <w:p>
      <w:pPr>
        <w:pStyle w:val="ListBullet"/>
      </w:pPr>
      <w:r>
        <w:t>World Bank Data, Agriculture, forestry, and fishing, value added – India: https://data.worldbank.org/indicator/NV.AGR.TOTL.CD?locations=IN</w:t>
      </w:r>
    </w:p>
    <w:p>
      <w:pPr>
        <w:pStyle w:val="ListBullet"/>
      </w:pPr>
      <w:r>
        <w:t>World Bank Data, Agriculture, forestry, and fishing, value added (% of GDP) – India: https://data.worldbank.org/indicator/NV.AGR.TOTL.ZS?locations=IN</w:t>
      </w:r>
    </w:p>
    <w:p>
      <w:pPr>
        <w:pStyle w:val="ListBullet"/>
      </w:pPr>
      <w:r>
        <w:t>World Bank Data, Cereal yield (kg per hectare) – India: https://data.worldbank.org/indicator/AG.YLD.CREL.KG?locations=IN</w:t>
      </w:r>
    </w:p>
    <w:p>
      <w:pPr>
        <w:pStyle w:val="ListBullet"/>
      </w:pPr>
      <w:r>
        <w:t>World Bank Data, Agricultural land (% of land area) – India: https://data.worldbank.org/indicator/AG.LND.AGRI.ZS?locations=IN</w:t>
      </w:r>
    </w:p>
    <w:p>
      <w:pPr>
        <w:pStyle w:val="ListBullet"/>
      </w:pPr>
      <w:r>
        <w:t>Government of India Open Government Data Platform: https://www.data.gov.in/</w:t>
      </w:r>
    </w:p>
    <w:p>
      <w:pPr>
        <w:pStyle w:val="Heading1"/>
      </w:pPr>
      <w:r>
        <w:t>Appendix A. Initial Analysis Checklist</w:t>
      </w:r>
    </w:p>
    <w:p>
      <w:pPr>
        <w:pStyle w:val="ListBullet"/>
        <w:ind w:left="360"/>
      </w:pPr>
      <w:r>
        <w:t>Confirm dataset license, source, update date, and metadata.</w:t>
      </w:r>
    </w:p>
    <w:p>
      <w:pPr>
        <w:pStyle w:val="ListBullet"/>
        <w:ind w:left="360"/>
      </w:pPr>
      <w:r>
        <w:t>Verify unit consistency before calculating growth or yield.</w:t>
      </w:r>
    </w:p>
    <w:p>
      <w:pPr>
        <w:pStyle w:val="ListBullet"/>
        <w:ind w:left="360"/>
      </w:pPr>
      <w:r>
        <w:t>Profile missing values and duplicates.</w:t>
      </w:r>
    </w:p>
    <w:p>
      <w:pPr>
        <w:pStyle w:val="ListBullet"/>
        <w:ind w:left="360"/>
      </w:pPr>
      <w:r>
        <w:t>Check for extreme observations and structural breaks.</w:t>
      </w:r>
    </w:p>
    <w:p>
      <w:pPr>
        <w:pStyle w:val="ListBullet"/>
        <w:ind w:left="360"/>
      </w:pPr>
      <w:r>
        <w:t>Create crop-wise and year-wise summaries.</w:t>
      </w:r>
    </w:p>
    <w:p>
      <w:pPr>
        <w:pStyle w:val="ListBullet"/>
        <w:ind w:left="360"/>
      </w:pPr>
      <w:r>
        <w:t>Visualize production, harvested area, and yield together.</w:t>
      </w:r>
    </w:p>
    <w:p>
      <w:pPr>
        <w:pStyle w:val="ListBullet"/>
        <w:ind w:left="360"/>
      </w:pPr>
      <w:r>
        <w:t>Document assumptions and limitations.</w:t>
      </w:r>
    </w:p>
    <w:p>
      <w:pPr>
        <w:pStyle w:val="ListBullet"/>
        <w:ind w:left="360"/>
      </w:pPr>
      <w:r>
        <w:t>Save notebooks/scripts and source-data metadata in GitHub.</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Internship Report | Data Exploration and Strategy Formulation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