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DD2" w:rsidRDefault="004C0DD2" w:rsidP="004C0DD2">
      <w:pPr>
        <w:spacing w:before="100" w:beforeAutospacing="1" w:after="100" w:afterAutospacing="1" w:line="240" w:lineRule="auto"/>
        <w:rPr>
          <w:rFonts w:ascii="Times New Roman" w:eastAsia="Times New Roman" w:hAnsi="Times New Roman" w:cs="Times New Roman"/>
          <w:sz w:val="24"/>
          <w:szCs w:val="24"/>
          <w:lang w:eastAsia="en-IN"/>
        </w:rPr>
      </w:pPr>
      <w:r w:rsidRPr="004C0DD2">
        <w:rPr>
          <w:rFonts w:ascii="Times New Roman" w:eastAsia="Times New Roman" w:hAnsi="Times New Roman" w:cs="Times New Roman"/>
          <w:b/>
          <w:sz w:val="24"/>
          <w:szCs w:val="24"/>
          <w:lang w:eastAsia="en-IN"/>
        </w:rPr>
        <w:t>Quantitative Structure-Activity Relationship Modeling</w:t>
      </w:r>
      <w:r w:rsidRPr="004C0DD2">
        <w:rPr>
          <w:rFonts w:ascii="Times New Roman" w:eastAsia="Times New Roman" w:hAnsi="Times New Roman" w:cs="Times New Roman"/>
          <w:sz w:val="24"/>
          <w:szCs w:val="24"/>
          <w:lang w:eastAsia="en-IN"/>
        </w:rPr>
        <w:t xml:space="preserve"> </w:t>
      </w:r>
    </w:p>
    <w:p w:rsidR="004C0DD2" w:rsidRPr="004C0DD2" w:rsidRDefault="004C0DD2" w:rsidP="004C0DD2">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4C0DD2">
        <w:rPr>
          <w:rFonts w:ascii="Times New Roman" w:eastAsia="Times New Roman" w:hAnsi="Times New Roman" w:cs="Times New Roman"/>
          <w:sz w:val="24"/>
          <w:szCs w:val="24"/>
          <w:lang w:eastAsia="en-IN"/>
        </w:rPr>
        <w:t xml:space="preserve">A highly curated dataset of Janus Kinase 2 inhibitors was processed to establish a robust classification boundary, segregating molecules into active and inactive cohorts based on a stringent bioactivity threshold. To represent the chemical space mathematically, a dual feature extraction approach was utilized. Morgan Fingerprints with a radius of 2 and a 2048 bit length were concatenated with a comprehensive set of </w:t>
      </w:r>
      <w:proofErr w:type="spellStart"/>
      <w:r w:rsidRPr="004C0DD2">
        <w:rPr>
          <w:rFonts w:ascii="Times New Roman" w:eastAsia="Times New Roman" w:hAnsi="Times New Roman" w:cs="Times New Roman"/>
          <w:sz w:val="24"/>
          <w:szCs w:val="24"/>
          <w:lang w:eastAsia="en-IN"/>
        </w:rPr>
        <w:t>RDKit</w:t>
      </w:r>
      <w:proofErr w:type="spellEnd"/>
      <w:r w:rsidRPr="004C0DD2">
        <w:rPr>
          <w:rFonts w:ascii="Times New Roman" w:eastAsia="Times New Roman" w:hAnsi="Times New Roman" w:cs="Times New Roman"/>
          <w:sz w:val="24"/>
          <w:szCs w:val="24"/>
          <w:lang w:eastAsia="en-IN"/>
        </w:rPr>
        <w:t xml:space="preserve"> 2D physicochemical descriptors. This initial feature space was subsequently refined by removing variables with near zero variance and eliminating highly correlated descriptors, ensuring the retention of non-redundant topological and thermodynamic information. An extreme gradient boosting classifier was developed to capture the complex, non-linear structure-activity relationships. The architecture was explicitly defined with 500 estimators, a maximum depth of 6, and a learning rate of 0.05, while dynamic class weighting was applied to mitigate inherent dataset imbalances. To prevent artificial extrapolation into unexplored chemical space during subsequent generative phases, an Applicability Domain was established using an Isolation Forest anomaly detection algorithm, tightly bounding the predictive confidence to the immediate vicinity of the training data.</w:t>
      </w:r>
    </w:p>
    <w:p w:rsidR="004C0DD2" w:rsidRDefault="004C0DD2" w:rsidP="004C0DD2">
      <w:pPr>
        <w:spacing w:before="100" w:beforeAutospacing="1" w:after="100" w:afterAutospacing="1" w:line="240" w:lineRule="auto"/>
        <w:rPr>
          <w:rFonts w:ascii="Times New Roman" w:eastAsia="Times New Roman" w:hAnsi="Times New Roman" w:cs="Times New Roman"/>
          <w:sz w:val="24"/>
          <w:szCs w:val="24"/>
          <w:lang w:eastAsia="en-IN"/>
        </w:rPr>
      </w:pPr>
      <w:r w:rsidRPr="004C0DD2">
        <w:rPr>
          <w:rFonts w:ascii="Times New Roman" w:eastAsia="Times New Roman" w:hAnsi="Times New Roman" w:cs="Times New Roman"/>
          <w:b/>
          <w:sz w:val="24"/>
          <w:szCs w:val="24"/>
          <w:lang w:eastAsia="en-IN"/>
        </w:rPr>
        <w:t>De Novo Generation via Graph Transformer Optimization</w:t>
      </w:r>
      <w:r w:rsidRPr="004C0DD2">
        <w:rPr>
          <w:rFonts w:ascii="Times New Roman" w:eastAsia="Times New Roman" w:hAnsi="Times New Roman" w:cs="Times New Roman"/>
          <w:sz w:val="24"/>
          <w:szCs w:val="24"/>
          <w:lang w:eastAsia="en-IN"/>
        </w:rPr>
        <w:t xml:space="preserve"> </w:t>
      </w:r>
    </w:p>
    <w:p w:rsidR="004C0DD2" w:rsidRPr="004C0DD2" w:rsidRDefault="004C0DD2" w:rsidP="004C0DD2">
      <w:pPr>
        <w:spacing w:before="100" w:beforeAutospacing="1" w:after="100" w:afterAutospacing="1" w:line="240" w:lineRule="auto"/>
        <w:rPr>
          <w:rFonts w:ascii="Times New Roman" w:eastAsia="Times New Roman" w:hAnsi="Times New Roman" w:cs="Times New Roman"/>
          <w:sz w:val="24"/>
          <w:szCs w:val="24"/>
          <w:lang w:eastAsia="en-IN"/>
        </w:rPr>
      </w:pPr>
      <w:r w:rsidRPr="004C0DD2">
        <w:rPr>
          <w:rFonts w:ascii="Times New Roman" w:eastAsia="Times New Roman" w:hAnsi="Times New Roman" w:cs="Times New Roman"/>
          <w:sz w:val="24"/>
          <w:szCs w:val="24"/>
          <w:lang w:eastAsia="en-IN"/>
        </w:rPr>
        <w:t xml:space="preserve">To systematically explore novel allosteric topographies, the DrugEx generative framework employing a Graph Transformer architecture was utilized. The curated dataset was converted into molecular graphs to serve as the training foundation. A generalized prior model, initially </w:t>
      </w:r>
      <w:proofErr w:type="spellStart"/>
      <w:r w:rsidRPr="004C0DD2">
        <w:rPr>
          <w:rFonts w:ascii="Times New Roman" w:eastAsia="Times New Roman" w:hAnsi="Times New Roman" w:cs="Times New Roman"/>
          <w:sz w:val="24"/>
          <w:szCs w:val="24"/>
          <w:lang w:eastAsia="en-IN"/>
        </w:rPr>
        <w:t>pretrained</w:t>
      </w:r>
      <w:proofErr w:type="spellEnd"/>
      <w:r w:rsidRPr="004C0DD2">
        <w:rPr>
          <w:rFonts w:ascii="Times New Roman" w:eastAsia="Times New Roman" w:hAnsi="Times New Roman" w:cs="Times New Roman"/>
          <w:sz w:val="24"/>
          <w:szCs w:val="24"/>
          <w:lang w:eastAsia="en-IN"/>
        </w:rPr>
        <w:t xml:space="preserve"> on the Papyrus bioactive dataset, was fine-tuned exclusively on the Janus Kinase 2 structural data for 100 epochs utilizing a batch size of 128. This transfer learning phase effectively localized the generative focus toward relevant kinase inhibitor scaffolds. Following this, the fine-tuned agent was subjected to multi-objective reinforcement learning. The reward function was defined by the extreme gradient boosting predictive engine and strictly penalized by the Isolation Forest Applicability Domain. A Pareto crowding distance scheme was employed to optimize molecular fitness while aggressively discarding structures classified as outliers. Upon convergence, the optimized agent was deployed to generate 100,000 novel molecular graphs with a batch size of 256, which were subsequently decoded into SMILES strings for downstream biophysical filtration.</w:t>
      </w:r>
    </w:p>
    <w:p w:rsidR="003571DF" w:rsidRDefault="003571DF" w:rsidP="003571DF">
      <w:pPr>
        <w:pStyle w:val="Heading4"/>
      </w:pPr>
      <w:r>
        <w:t>De Novo Library Generation and In Silico ADMET Funnel</w:t>
      </w:r>
    </w:p>
    <w:p w:rsidR="003571DF" w:rsidRDefault="003571DF" w:rsidP="003571DF">
      <w:pPr>
        <w:pStyle w:val="NormalWeb"/>
      </w:pPr>
      <w:r>
        <w:t>A generative library comprising 100,000 structurally novel molecules was initially synthesized using a reinforcement learning-based graph transformer model (</w:t>
      </w:r>
      <w:r>
        <w:rPr>
          <w:rStyle w:val="HTMLCode"/>
        </w:rPr>
        <w:t>1L_JAK2_graph_RL_graph_trans_RL.tsv</w:t>
      </w:r>
      <w:r>
        <w:t xml:space="preserve">). To ensure the selection of highly viable, drug-like candidates with a high probability of translating to </w:t>
      </w:r>
      <w:r>
        <w:rPr>
          <w:i/>
          <w:iCs/>
        </w:rPr>
        <w:t>in vitro</w:t>
      </w:r>
      <w:r>
        <w:t xml:space="preserve"> success, a rigorous, sequential </w:t>
      </w:r>
      <w:r>
        <w:rPr>
          <w:i/>
          <w:iCs/>
        </w:rPr>
        <w:t>in silico</w:t>
      </w:r>
      <w:r>
        <w:t xml:space="preserve"> Absorption, Distribution, Metabolism, Excretion, and Toxicity (ADMET) and synthesizability funnel was implemented using the </w:t>
      </w:r>
      <w:proofErr w:type="spellStart"/>
      <w:r>
        <w:t>RDKit</w:t>
      </w:r>
      <w:proofErr w:type="spellEnd"/>
      <w:r>
        <w:t xml:space="preserve"> </w:t>
      </w:r>
      <w:proofErr w:type="spellStart"/>
      <w:r>
        <w:t>chemoinformatics</w:t>
      </w:r>
      <w:proofErr w:type="spellEnd"/>
      <w:r>
        <w:t xml:space="preserve"> framework (v.2023+). </w:t>
      </w:r>
    </w:p>
    <w:p w:rsidR="003571DF" w:rsidRDefault="003571DF" w:rsidP="003571DF">
      <w:pPr>
        <w:pStyle w:val="NormalWeb"/>
      </w:pPr>
      <w:r>
        <w:t xml:space="preserve">Molecules were first subjected to strict JAK2-targeted physicochemical boundary constraints designed to optimize oral bioavailability while minimizing blood-brain barrier penetration. The acceptable parameters were defined as follows: Molecular Weight (MW) between 300 and 480 Da, </w:t>
      </w:r>
      <w:proofErr w:type="spellStart"/>
      <w:r>
        <w:t>LogP</w:t>
      </w:r>
      <w:proofErr w:type="spellEnd"/>
      <w:r>
        <w:t xml:space="preserve"> between 1.5 and 3.8, 1 to 3 Hydrogen Bond Donors (HBD), 4 to 8 Hydrogen Bond Acceptors (HBA), Topological Polar Surface Area (TPSA) between 70 and 115 Å², and a maximum of 6 rotatable bonds. </w:t>
      </w:r>
    </w:p>
    <w:p w:rsidR="003571DF" w:rsidRDefault="003571DF" w:rsidP="003571DF">
      <w:pPr>
        <w:pStyle w:val="NormalWeb"/>
      </w:pPr>
      <w:r>
        <w:lastRenderedPageBreak/>
        <w:t xml:space="preserve">To enrich the library for target compatibility, a JAK2 hinge-binder </w:t>
      </w:r>
      <w:proofErr w:type="spellStart"/>
      <w:r>
        <w:t>pharmacophore</w:t>
      </w:r>
      <w:proofErr w:type="spellEnd"/>
      <w:r>
        <w:t xml:space="preserve"> filter was applied, mandating the presence of 2 to 4 aromatic rings, of which at least one was required to be a </w:t>
      </w:r>
      <w:proofErr w:type="spellStart"/>
      <w:r>
        <w:t>heteroaromatic</w:t>
      </w:r>
      <w:proofErr w:type="spellEnd"/>
      <w:r>
        <w:t xml:space="preserve"> system. Structural integrity and stability were further enforced by eliminating unrealistic ring geometries; acceptable topologies were strictly limited to 4- to 6-membered rings containing no more than three heteroatoms and zero bridgehead atoms. </w:t>
      </w:r>
    </w:p>
    <w:p w:rsidR="003571DF" w:rsidRDefault="003571DF" w:rsidP="003571DF">
      <w:pPr>
        <w:pStyle w:val="NormalWeb"/>
      </w:pPr>
      <w:r>
        <w:t xml:space="preserve">Candidate synthesizability was quantified utilizing the </w:t>
      </w:r>
      <w:proofErr w:type="spellStart"/>
      <w:r>
        <w:t>RDKit</w:t>
      </w:r>
      <w:proofErr w:type="spellEnd"/>
      <w:r>
        <w:t xml:space="preserve"> </w:t>
      </w:r>
      <w:proofErr w:type="spellStart"/>
      <w:r>
        <w:t>Contrib</w:t>
      </w:r>
      <w:proofErr w:type="spellEnd"/>
      <w:r>
        <w:t xml:space="preserve"> </w:t>
      </w:r>
      <w:proofErr w:type="spellStart"/>
      <w:r>
        <w:t>SA_Score</w:t>
      </w:r>
      <w:proofErr w:type="spellEnd"/>
      <w:r>
        <w:t xml:space="preserve"> module, with a strict synthetic accessibility (SA) score </w:t>
      </w:r>
      <w:proofErr w:type="spellStart"/>
      <w:r>
        <w:t>cutoff</w:t>
      </w:r>
      <w:proofErr w:type="spellEnd"/>
      <w:r>
        <w:t xml:space="preserve"> of ≤ 4.5. </w:t>
      </w:r>
      <w:proofErr w:type="spellStart"/>
      <w:r>
        <w:t>Substructural</w:t>
      </w:r>
      <w:proofErr w:type="spellEnd"/>
      <w:r>
        <w:t xml:space="preserve"> toxicity and promiscuity alerts were robustly filtered utilizing a combined </w:t>
      </w:r>
      <w:proofErr w:type="spellStart"/>
      <w:r>
        <w:t>FilterCatalog</w:t>
      </w:r>
      <w:proofErr w:type="spellEnd"/>
      <w:r>
        <w:t xml:space="preserve"> encompassing PAINS, BRENK, NIH, and ZINC datasets. Additionally, a bespoke </w:t>
      </w:r>
      <w:proofErr w:type="spellStart"/>
      <w:r>
        <w:t>hERG</w:t>
      </w:r>
      <w:proofErr w:type="spellEnd"/>
      <w:r>
        <w:t xml:space="preserve"> </w:t>
      </w:r>
      <w:proofErr w:type="spellStart"/>
      <w:r>
        <w:t>cardiotoxicity</w:t>
      </w:r>
      <w:proofErr w:type="spellEnd"/>
      <w:r>
        <w:t xml:space="preserve"> proxy was deployed to eliminate molecules possessing an aliphatic basic nitrogen combined with high lipophilicity (</w:t>
      </w:r>
      <w:proofErr w:type="spellStart"/>
      <w:r>
        <w:t>LogP</w:t>
      </w:r>
      <w:proofErr w:type="spellEnd"/>
      <w:r>
        <w:t xml:space="preserve"> &gt; 3.5). Finally, an initial baseline Quantitative Estimate of Drug-likeness (QED) threshold of ≥ 0.60 was enforced. </w:t>
      </w:r>
    </w:p>
    <w:p w:rsidR="003571DF" w:rsidRDefault="003571DF" w:rsidP="003571DF">
      <w:pPr>
        <w:pStyle w:val="Heading4"/>
      </w:pPr>
      <w:r>
        <w:t>Scaffold Diversity Clustering and 3D Ligand Preparation</w:t>
      </w:r>
    </w:p>
    <w:p w:rsidR="003571DF" w:rsidRDefault="003571DF" w:rsidP="003571DF">
      <w:pPr>
        <w:pStyle w:val="NormalWeb"/>
      </w:pPr>
      <w:r>
        <w:t xml:space="preserve">To extract biologically distinct chemical scaffolds and prevent structural redundancy, the surviving molecules were subjected to </w:t>
      </w:r>
      <w:proofErr w:type="spellStart"/>
      <w:r>
        <w:t>Butina</w:t>
      </w:r>
      <w:proofErr w:type="spellEnd"/>
      <w:r>
        <w:t xml:space="preserve"> clustering. Morgan fingerprints (radius = 2, 2048-bit) were generated, and clustering was executed utilizing a </w:t>
      </w:r>
      <w:proofErr w:type="spellStart"/>
      <w:r>
        <w:t>Tanimoto</w:t>
      </w:r>
      <w:proofErr w:type="spellEnd"/>
      <w:r>
        <w:t xml:space="preserve"> similarity threshold of 0.65. To prioritize chemical entities that the generative model confidently mapped, only "dense consensus clusters" containing a minimum of two members were retained. The cluster centroids were subsequently extracted and subjected to a highly stringent secondary QED threshold of ≥ 0.70 to isolate elite, highly drug-like scaffolds. </w:t>
      </w:r>
    </w:p>
    <w:p w:rsidR="003571DF" w:rsidRDefault="003571DF" w:rsidP="003571DF">
      <w:pPr>
        <w:pStyle w:val="NormalWeb"/>
      </w:pPr>
      <w:r>
        <w:t xml:space="preserve">The elite diverse SMILES were prepared for molecular docking using an automated 3D geometric optimization pipeline. Tautomeric states were </w:t>
      </w:r>
      <w:proofErr w:type="spellStart"/>
      <w:r>
        <w:t>canonicalized</w:t>
      </w:r>
      <w:proofErr w:type="spellEnd"/>
      <w:r>
        <w:t xml:space="preserve"> using the </w:t>
      </w:r>
      <w:proofErr w:type="spellStart"/>
      <w:r>
        <w:t>RDKit</w:t>
      </w:r>
      <w:proofErr w:type="spellEnd"/>
      <w:r>
        <w:t xml:space="preserve"> </w:t>
      </w:r>
      <w:proofErr w:type="spellStart"/>
      <w:r>
        <w:t>TautomerEnumerator</w:t>
      </w:r>
      <w:proofErr w:type="spellEnd"/>
      <w:r>
        <w:t xml:space="preserve">. To mimic physiological conditions (pH 7.4), rule-based ionization was applied: basic aliphatic amines were protonated, and carboxylic acids were deprotonated. Explicit </w:t>
      </w:r>
      <w:proofErr w:type="spellStart"/>
      <w:r>
        <w:t>hydrogens</w:t>
      </w:r>
      <w:proofErr w:type="spellEnd"/>
      <w:r>
        <w:t xml:space="preserve"> were added, and initial 3D coordinates were embedded using the ETKDGv3 algorithm with randomized coordinate generation. Final thermodynamic convergence of the ligand structures was achieved via geometric minimization using the MMFF94s force field, allowing up to 2000 iterations to accurately resolve planar nitrogen geometries. </w:t>
      </w:r>
    </w:p>
    <w:p w:rsidR="00F136DF" w:rsidRDefault="00F136DF" w:rsidP="00F136DF">
      <w:pPr>
        <w:pStyle w:val="Heading4"/>
      </w:pPr>
      <w:r>
        <w:t>AI-Augmented Molecular Docking</w:t>
      </w:r>
    </w:p>
    <w:p w:rsidR="00F136DF" w:rsidRDefault="00F136DF" w:rsidP="00F136DF">
      <w:pPr>
        <w:pStyle w:val="NormalWeb"/>
      </w:pPr>
      <w:r>
        <w:t xml:space="preserve">To evaluate the cross-domain binding potential and inter-pocket selectivity of the computationally generated scaffolds, molecular docking was executed against the high-resolution crystal structures of the wild-type JAK2 active kinase domain (JH1, PDB: 6VN8) and the V617F-mutated </w:t>
      </w:r>
      <w:proofErr w:type="spellStart"/>
      <w:r>
        <w:t>pseudokinase</w:t>
      </w:r>
      <w:proofErr w:type="spellEnd"/>
      <w:r>
        <w:t xml:space="preserve"> domain (JH2, PDB: 8BAK). Receptors were prepared by removing co-crystallized ligands, stripping non-essential water molecules, and standardizing protonation states to simulate physiological </w:t>
      </w:r>
      <w:proofErr w:type="spellStart"/>
      <w:r>
        <w:t>pH.</w:t>
      </w:r>
      <w:proofErr w:type="spellEnd"/>
    </w:p>
    <w:p w:rsidR="00F136DF" w:rsidRDefault="00F136DF" w:rsidP="00F136DF">
      <w:pPr>
        <w:pStyle w:val="NormalWeb"/>
      </w:pPr>
      <w:r>
        <w:t>Docking simulations were performed utilizing GNINA 2.0, an advanced molecular docking framework that integrates classical empirical scoring (</w:t>
      </w:r>
      <w:proofErr w:type="spellStart"/>
      <w:r>
        <w:t>Vina</w:t>
      </w:r>
      <w:proofErr w:type="spellEnd"/>
      <w:r>
        <w:t xml:space="preserve">) with a Convolutional Neural Network (CNN) architecture. The implementation of GNINA was critical for this study, as deep-learning-based feature extraction fundamentally outperforms classical force-fields in parameterizing highly specialized, non-covalent interactions, such as halogen bonding and subtle electron-withdrawing steric clashes. The generated output provided a classical </w:t>
      </w:r>
      <w:proofErr w:type="spellStart"/>
      <w:r>
        <w:t>Vina</w:t>
      </w:r>
      <w:proofErr w:type="spellEnd"/>
      <w:r>
        <w:t xml:space="preserve"> affinity (kcal/</w:t>
      </w:r>
      <w:proofErr w:type="spellStart"/>
      <w:r>
        <w:t>mol</w:t>
      </w:r>
      <w:proofErr w:type="spellEnd"/>
      <w:r>
        <w:t xml:space="preserve">), an absolute CNN pose confidence score (0 to 1), and a predicted CNN </w:t>
      </w:r>
      <w:r>
        <w:lastRenderedPageBreak/>
        <w:t>affinity (</w:t>
      </w:r>
      <w:proofErr w:type="spellStart"/>
      <w:r>
        <w:t>pKd</w:t>
      </w:r>
      <w:proofErr w:type="spellEnd"/>
      <w:r>
        <w:t>), enabling a highly multidimensional assessment of ligand-protein compatibility.</w:t>
      </w:r>
    </w:p>
    <w:p w:rsidR="001B4191" w:rsidRDefault="001B4191" w:rsidP="001B4191">
      <w:pPr>
        <w:pStyle w:val="Heading4"/>
      </w:pPr>
      <w:r>
        <w:t>Molecular Dynamics Simulations and Thermodynamic Convergence</w:t>
      </w:r>
    </w:p>
    <w:p w:rsidR="001B4191" w:rsidRDefault="001B4191" w:rsidP="001B4191">
      <w:pPr>
        <w:pStyle w:val="NormalWeb"/>
      </w:pPr>
      <w:r>
        <w:t>To rigorously evaluate the kinetic stability, topological survival, and conformational resilience of the four domain-specific archetypes (Candidates 227, 299, 306, and 253), extended molecular dynamics (MD) simulations were performed. The static docking complexes generated by GNINA 2.0 were utilized as the starting coordinates for the MD trajectories. All simulations were executed using the Desmond molecular dynamics suite (Schrödinger Release 2023-4).</w:t>
      </w:r>
    </w:p>
    <w:p w:rsidR="001B4191" w:rsidRDefault="001B4191" w:rsidP="001B4191">
      <w:pPr>
        <w:pStyle w:val="NormalWeb"/>
      </w:pPr>
      <w:r>
        <w:t>To accurately simulate a dynamic physiological environment, each protein-ligand complex was explicitly solvated in an orthorhombic periodic bounding box using the TIP3P water model, with a 10 Å × 10 Å × 10 Å buffer distance maintained between the protein surface and the simulation boundary. The systems were electrically neutralized through the addition of appropriate counterions (Na⁺/</w:t>
      </w:r>
      <w:proofErr w:type="spellStart"/>
      <w:r>
        <w:t>Cl</w:t>
      </w:r>
      <w:proofErr w:type="spellEnd"/>
      <w:r>
        <w:t xml:space="preserve">⁻), and a physiological salt concentration (0.15 M </w:t>
      </w:r>
      <w:proofErr w:type="spellStart"/>
      <w:r>
        <w:t>NaCl</w:t>
      </w:r>
      <w:proofErr w:type="spellEnd"/>
      <w:r>
        <w:t>) was introduced to mimic the ionic strength of the intracellular milieu.</w:t>
      </w:r>
    </w:p>
    <w:p w:rsidR="001B4191" w:rsidRDefault="001B4191" w:rsidP="001B4191">
      <w:pPr>
        <w:pStyle w:val="NormalWeb"/>
      </w:pPr>
      <w:r>
        <w:t xml:space="preserve">Prior to production runs, the systems underwent a rigorous relaxation protocol to eliminate initial steric clashes and achieve local thermodynamic energy minima. The production simulations were conducted under the isothermal-isobaric (NPT) ensemble. The system temperature was precisely maintained at 300.0 K using a </w:t>
      </w:r>
      <w:proofErr w:type="spellStart"/>
      <w:r>
        <w:t>Nosé</w:t>
      </w:r>
      <w:proofErr w:type="spellEnd"/>
      <w:r>
        <w:t xml:space="preserve">-Hoover chain thermostat, while the pressure was kept constant at 1.01325 bar (1 </w:t>
      </w:r>
      <w:proofErr w:type="spellStart"/>
      <w:r>
        <w:t>atm</w:t>
      </w:r>
      <w:proofErr w:type="spellEnd"/>
      <w:r>
        <w:t xml:space="preserve">) utilizing a </w:t>
      </w:r>
      <w:proofErr w:type="spellStart"/>
      <w:r>
        <w:t>Martyna</w:t>
      </w:r>
      <w:proofErr w:type="spellEnd"/>
      <w:r>
        <w:t xml:space="preserve">-Tobias-Klein </w:t>
      </w:r>
      <w:proofErr w:type="spellStart"/>
      <w:r>
        <w:t>barostat</w:t>
      </w:r>
      <w:proofErr w:type="spellEnd"/>
      <w:r>
        <w:t>.</w:t>
      </w:r>
    </w:p>
    <w:p w:rsidR="001B4191" w:rsidRDefault="001B4191" w:rsidP="001B4191">
      <w:pPr>
        <w:pStyle w:val="NormalWeb"/>
      </w:pPr>
      <w:r>
        <w:t>To ensure the statistical validity of the kinetic observations and to confirm the reproducible mapping of free energy basins, all simulations were executed in independent triplicates. Production trajectories ranged from 200 ns to 500 ns, depending on the temporal requirements necessary to achieve structural convergence or fully map the unbinding vector of unstable ligands. Trajectory analysis, including Root Mean Square Deviation (RMSD), Root Mean Square Fluctuation (RMSF), and Solvent Accessible Surface Area (SASA), was performed utilizing Desmond's integrated Simulation Interactions Diagram (SID) toolset to quantify the dynamic structural rewiring.</w:t>
      </w:r>
    </w:p>
    <w:p w:rsidR="00430C80" w:rsidRDefault="00430C80" w:rsidP="00430C80">
      <w:pPr>
        <w:pStyle w:val="Heading4"/>
      </w:pPr>
      <w:r>
        <w:t xml:space="preserve">Thermodynamic </w:t>
      </w:r>
      <w:proofErr w:type="spellStart"/>
      <w:r>
        <w:t>Deconvolution</w:t>
      </w:r>
      <w:proofErr w:type="spellEnd"/>
      <w:r>
        <w:t xml:space="preserve"> via MM-GBSA</w:t>
      </w:r>
    </w:p>
    <w:p w:rsidR="00430C80" w:rsidRDefault="00430C80" w:rsidP="00430C80">
      <w:pPr>
        <w:pStyle w:val="NormalWeb"/>
      </w:pPr>
      <w:r>
        <w:t xml:space="preserve">To quantify the specific thermodynamic driving forces governing domain selectivity and to </w:t>
      </w:r>
      <w:proofErr w:type="spellStart"/>
      <w:r>
        <w:t>deconvolute</w:t>
      </w:r>
      <w:proofErr w:type="spellEnd"/>
      <w:r>
        <w:t xml:space="preserve"> the total binding free energy (</w:t>
      </w:r>
      <w:proofErr w:type="spellStart"/>
      <w:r>
        <w:rPr>
          <w:rStyle w:val="math-inline"/>
        </w:rPr>
        <w:t>Delta</w:t>
      </w:r>
      <w:r>
        <w:t>G</w:t>
      </w:r>
      <w:proofErr w:type="spellEnd"/>
      <w:proofErr w:type="gramStart"/>
      <w:r>
        <w:t>_{</w:t>
      </w:r>
      <w:proofErr w:type="gramEnd"/>
      <w:r>
        <w:t>bind}) into its constituent energetic components, Molecular Mechanics Generalized Born Surface Area (MM-GBSA) calculations were performed. Rather than relying on static docking scores, free energy calculations were executed on structural snapshots extracted directly from the dynamic molecular dynamics (MD) trajectories, providing a more accurate representation of the converged thermodynamic state.</w:t>
      </w:r>
    </w:p>
    <w:p w:rsidR="00430C80" w:rsidRDefault="00430C80" w:rsidP="00430C80">
      <w:pPr>
        <w:pStyle w:val="NormalWeb"/>
      </w:pPr>
      <w:r>
        <w:t xml:space="preserve">The automated analytical pipeline utilized the </w:t>
      </w:r>
      <w:proofErr w:type="spellStart"/>
      <w:r>
        <w:t>UniGBSA</w:t>
      </w:r>
      <w:proofErr w:type="spellEnd"/>
      <w:r>
        <w:t xml:space="preserve"> framework. The analysis was configured to extract 100 representative frames from the production phase of each MD trajectory. The binding free energy was calculated using the equation:</w:t>
      </w:r>
    </w:p>
    <w:p w:rsidR="00430C80" w:rsidRDefault="00430C80" w:rsidP="00430C80">
      <w:pPr>
        <w:pStyle w:val="NormalWeb"/>
      </w:pPr>
      <w:proofErr w:type="spellStart"/>
      <w:proofErr w:type="gramStart"/>
      <w:r>
        <w:rPr>
          <w:rStyle w:val="math-inline"/>
        </w:rPr>
        <w:t>Delta</w:t>
      </w:r>
      <w:r>
        <w:t>G</w:t>
      </w:r>
      <w:proofErr w:type="spellEnd"/>
      <w:r>
        <w:rPr>
          <w:i/>
          <w:iCs/>
        </w:rPr>
        <w:t>{</w:t>
      </w:r>
      <w:proofErr w:type="gramEnd"/>
      <w:r>
        <w:rPr>
          <w:i/>
          <w:iCs/>
        </w:rPr>
        <w:t xml:space="preserve">bind} = </w:t>
      </w:r>
      <w:proofErr w:type="spellStart"/>
      <w:r>
        <w:rPr>
          <w:rStyle w:val="math-inline"/>
          <w:i/>
          <w:iCs/>
        </w:rPr>
        <w:t>Delta</w:t>
      </w:r>
      <w:r>
        <w:rPr>
          <w:i/>
          <w:iCs/>
        </w:rPr>
        <w:t>G</w:t>
      </w:r>
      <w:proofErr w:type="spellEnd"/>
      <w:r>
        <w:t>{complex} - (</w:t>
      </w:r>
      <w:proofErr w:type="spellStart"/>
      <w:r>
        <w:rPr>
          <w:rStyle w:val="math-inline"/>
        </w:rPr>
        <w:t>Delta</w:t>
      </w:r>
      <w:r>
        <w:t>G</w:t>
      </w:r>
      <w:proofErr w:type="spellEnd"/>
      <w:r>
        <w:rPr>
          <w:i/>
          <w:iCs/>
        </w:rPr>
        <w:t xml:space="preserve">{receptor} + </w:t>
      </w:r>
      <w:proofErr w:type="spellStart"/>
      <w:r>
        <w:rPr>
          <w:rStyle w:val="math-inline"/>
          <w:i/>
          <w:iCs/>
        </w:rPr>
        <w:t>Delta</w:t>
      </w:r>
      <w:r>
        <w:rPr>
          <w:i/>
          <w:iCs/>
        </w:rPr>
        <w:t>G</w:t>
      </w:r>
      <w:proofErr w:type="spellEnd"/>
      <w:r>
        <w:t>{ligand})</w:t>
      </w:r>
    </w:p>
    <w:p w:rsidR="00430C80" w:rsidRDefault="00430C80" w:rsidP="00430C80">
      <w:pPr>
        <w:pStyle w:val="NormalWeb"/>
      </w:pPr>
      <w:r>
        <w:lastRenderedPageBreak/>
        <w:t xml:space="preserve">The total free energy was subsequently </w:t>
      </w:r>
      <w:proofErr w:type="spellStart"/>
      <w:r>
        <w:t>deconvoluted</w:t>
      </w:r>
      <w:proofErr w:type="spellEnd"/>
      <w:r>
        <w:t xml:space="preserve"> into individual energetic terms, specifically resolving van der Waals interactions (</w:t>
      </w:r>
      <w:proofErr w:type="spellStart"/>
      <w:r>
        <w:rPr>
          <w:rStyle w:val="math-inline"/>
        </w:rPr>
        <w:t>Delta</w:t>
      </w:r>
      <w:r>
        <w:t>G</w:t>
      </w:r>
      <w:proofErr w:type="spellEnd"/>
      <w:r>
        <w:rPr>
          <w:i/>
          <w:iCs/>
        </w:rPr>
        <w:t>{</w:t>
      </w:r>
      <w:proofErr w:type="spellStart"/>
      <w:r>
        <w:rPr>
          <w:i/>
          <w:iCs/>
        </w:rPr>
        <w:t>vdW</w:t>
      </w:r>
      <w:proofErr w:type="spellEnd"/>
      <w:r>
        <w:rPr>
          <w:i/>
          <w:iCs/>
        </w:rPr>
        <w:t>}</w:t>
      </w:r>
      <w:r>
        <w:rPr>
          <w:rStyle w:val="math-inline"/>
          <w:i/>
          <w:iCs/>
        </w:rPr>
        <w:t>), electrostatic forces (</w:t>
      </w:r>
      <w:proofErr w:type="spellStart"/>
      <w:r>
        <w:rPr>
          <w:i/>
          <w:iCs/>
        </w:rPr>
        <w:t>Delta</w:t>
      </w:r>
      <w:r>
        <w:rPr>
          <w:rStyle w:val="math-inline"/>
          <w:i/>
          <w:iCs/>
        </w:rPr>
        <w:t>G</w:t>
      </w:r>
      <w:proofErr w:type="spellEnd"/>
      <w:r>
        <w:t>{</w:t>
      </w:r>
      <w:proofErr w:type="spellStart"/>
      <w:r>
        <w:t>Elec</w:t>
      </w:r>
      <w:proofErr w:type="spellEnd"/>
      <w:r>
        <w:t>}</w:t>
      </w:r>
      <w:r>
        <w:rPr>
          <w:rStyle w:val="math-inline"/>
        </w:rPr>
        <w:t>), polar solvation energies (</w:t>
      </w:r>
      <w:proofErr w:type="spellStart"/>
      <w:r>
        <w:t>Delta</w:t>
      </w:r>
      <w:r>
        <w:rPr>
          <w:rStyle w:val="math-inline"/>
        </w:rPr>
        <w:t>G</w:t>
      </w:r>
      <w:proofErr w:type="spellEnd"/>
      <w:r>
        <w:rPr>
          <w:i/>
          <w:iCs/>
        </w:rPr>
        <w:t>{</w:t>
      </w:r>
      <w:proofErr w:type="spellStart"/>
      <w:r>
        <w:rPr>
          <w:i/>
          <w:iCs/>
        </w:rPr>
        <w:t>Polar_Solv</w:t>
      </w:r>
      <w:proofErr w:type="spellEnd"/>
      <w:r>
        <w:rPr>
          <w:i/>
          <w:iCs/>
        </w:rPr>
        <w:t>}</w:t>
      </w:r>
      <w:r>
        <w:rPr>
          <w:rStyle w:val="math-inline"/>
          <w:i/>
          <w:iCs/>
        </w:rPr>
        <w:t>), and non-polar solvation energies (</w:t>
      </w:r>
      <w:proofErr w:type="spellStart"/>
      <w:r>
        <w:rPr>
          <w:i/>
          <w:iCs/>
        </w:rPr>
        <w:t>Delta</w:t>
      </w:r>
      <w:r>
        <w:rPr>
          <w:rStyle w:val="math-inline"/>
          <w:i/>
          <w:iCs/>
        </w:rPr>
        <w:t>G</w:t>
      </w:r>
      <w:proofErr w:type="spellEnd"/>
      <w:r>
        <w:t>{</w:t>
      </w:r>
      <w:proofErr w:type="spellStart"/>
      <w:r>
        <w:t>NonPolar_Solv</w:t>
      </w:r>
      <w:proofErr w:type="spellEnd"/>
      <w:r>
        <w:t>}). The implicit solvent environment was parameterized using the Generalized Born (GB) model configured with an internal dielectric constant of 1.0 (to represent the hydrophobic protein interior) and an external dielectric constant of 80.0 (to represent the bulk aqueous solvent). All energy terms were calculated and averaged across the extracted frames for each independent replica to ensure statistical robustness, and the resulting component profiles were visualized using kernel density estimation (KDE) and comparative violin plots to map the energetic variance across the binding states.</w:t>
      </w:r>
    </w:p>
    <w:p w:rsidR="00DC1AEC" w:rsidRDefault="00DC1AEC" w:rsidP="00DC1AEC">
      <w:pPr>
        <w:pStyle w:val="Heading4"/>
      </w:pPr>
      <w:r>
        <w:t>Free Energy Landscape Analysis</w:t>
      </w:r>
    </w:p>
    <w:p w:rsidR="00DC1AEC" w:rsidRDefault="00DC1AEC" w:rsidP="00DC1AEC">
      <w:pPr>
        <w:pStyle w:val="NormalWeb"/>
      </w:pPr>
      <w:r>
        <w:t xml:space="preserve">To define the continuous conformational space sampled by the protein-ligand complexes and to quantify the thermodynamic stability of the identified kinetic traps, Free Energy Landscape (FEL) analysis was performed on the molecular dynamics trajectories. The analytical pipeline was executed using the </w:t>
      </w:r>
      <w:proofErr w:type="spellStart"/>
      <w:r>
        <w:t>MDAnalysis</w:t>
      </w:r>
      <w:proofErr w:type="spellEnd"/>
      <w:r>
        <w:t xml:space="preserve"> library in Python, processing the production trajectory files and corresponding topology data derived directly from the Desmond simulations. To accurately track structural evolution and overall molecular compactness, the Root Mean Square Deviation (RMSD) and the Radius of Gyration (</w:t>
      </w:r>
      <w:proofErr w:type="spellStart"/>
      <w:r>
        <w:t>Rg</w:t>
      </w:r>
      <w:proofErr w:type="spellEnd"/>
      <w:r>
        <w:t>) of the protein alpha-carbon atoms were designated as the primary collective variables.</w:t>
      </w:r>
    </w:p>
    <w:p w:rsidR="00DC1AEC" w:rsidRDefault="00DC1AEC" w:rsidP="00DC1AEC">
      <w:pPr>
        <w:pStyle w:val="NormalWeb"/>
      </w:pPr>
      <w:r>
        <w:t xml:space="preserve">The probability density of the conformational states was mapped by projecting the RMSD and </w:t>
      </w:r>
      <w:proofErr w:type="spellStart"/>
      <w:r>
        <w:t>Rg</w:t>
      </w:r>
      <w:proofErr w:type="spellEnd"/>
      <w:r>
        <w:t xml:space="preserve"> coordinate arrays into an 80-bin two-dimensional histogram. The relative free energy surface was subsequently derived from this joint probability distribution using the Boltzmann relationship, F = -</w:t>
      </w:r>
      <w:proofErr w:type="spellStart"/>
      <w:r>
        <w:t>kbT</w:t>
      </w:r>
      <w:proofErr w:type="spellEnd"/>
      <w:r>
        <w:t xml:space="preserve"> </w:t>
      </w:r>
      <w:proofErr w:type="spellStart"/>
      <w:r>
        <w:t>ln</w:t>
      </w:r>
      <w:proofErr w:type="spellEnd"/>
      <w:r>
        <w:t xml:space="preserve">(P), where kb represents the Boltzmann constant, T is the physiological simulation temperature set to 298.15 K, and P is the normalized probability density of a specific microstate. To minimize localized statistical noise and clearly resolve the macroscopic thermodynamic funnels, a Gaussian smoothing filter (sigma = 2.0) was applied to the raw energy grid. This automated framework systematically isolated the global energy minimum for each independent replica, extracting the precise RMSD, </w:t>
      </w:r>
      <w:proofErr w:type="spellStart"/>
      <w:r>
        <w:t>Rg</w:t>
      </w:r>
      <w:proofErr w:type="spellEnd"/>
      <w:r>
        <w:t>, and relative free energy coordinates, while generating high-resolution two-dimensional contour maps and three-dimensional surface projections to visually map the kinetic energy barriers governing cross-domain selectivity.</w:t>
      </w:r>
    </w:p>
    <w:p w:rsidR="00F6445A" w:rsidRPr="00F6445A" w:rsidRDefault="00F6445A" w:rsidP="00F6445A">
      <w:pPr>
        <w:spacing w:before="100" w:beforeAutospacing="1" w:after="100" w:afterAutospacing="1" w:line="240" w:lineRule="auto"/>
        <w:rPr>
          <w:rFonts w:ascii="Times New Roman" w:eastAsia="Times New Roman" w:hAnsi="Times New Roman" w:cs="Times New Roman"/>
          <w:sz w:val="24"/>
          <w:szCs w:val="24"/>
          <w:lang w:eastAsia="en-IN"/>
        </w:rPr>
      </w:pPr>
      <w:r w:rsidRPr="00F6445A">
        <w:rPr>
          <w:rFonts w:ascii="Times New Roman" w:eastAsia="Times New Roman" w:hAnsi="Times New Roman" w:cs="Times New Roman"/>
          <w:b/>
          <w:bCs/>
          <w:sz w:val="24"/>
          <w:szCs w:val="24"/>
          <w:lang w:eastAsia="en-IN"/>
        </w:rPr>
        <w:t>Dynamic Cross Correlation Matrix Analysis</w:t>
      </w:r>
      <w:r w:rsidRPr="00F6445A">
        <w:rPr>
          <w:rFonts w:ascii="Times New Roman" w:eastAsia="Times New Roman" w:hAnsi="Times New Roman" w:cs="Times New Roman"/>
          <w:sz w:val="24"/>
          <w:szCs w:val="24"/>
          <w:lang w:eastAsia="en-IN"/>
        </w:rPr>
        <w:t xml:space="preserve"> To quantify the internal communication and synchronized atomic motions within the protein domains upon ligand binding, Dynamic Cross Correlation Matrix (DCCM) analysis was performed utilizing the </w:t>
      </w:r>
      <w:proofErr w:type="spellStart"/>
      <w:r w:rsidRPr="00F6445A">
        <w:rPr>
          <w:rFonts w:ascii="Times New Roman" w:eastAsia="Times New Roman" w:hAnsi="Times New Roman" w:cs="Times New Roman"/>
          <w:sz w:val="24"/>
          <w:szCs w:val="24"/>
          <w:lang w:eastAsia="en-IN"/>
        </w:rPr>
        <w:t>MDAnalysis</w:t>
      </w:r>
      <w:proofErr w:type="spellEnd"/>
      <w:r w:rsidRPr="00F6445A">
        <w:rPr>
          <w:rFonts w:ascii="Times New Roman" w:eastAsia="Times New Roman" w:hAnsi="Times New Roman" w:cs="Times New Roman"/>
          <w:sz w:val="24"/>
          <w:szCs w:val="24"/>
          <w:lang w:eastAsia="en-IN"/>
        </w:rPr>
        <w:t xml:space="preserve"> Python framework. Coordinate data was extracted from the equilibrated production phase of the molecular dynamics trajectories. Prior to calculation, the trajectories were aligned to their initial structural frames to completely eliminate </w:t>
      </w:r>
      <w:proofErr w:type="spellStart"/>
      <w:r w:rsidRPr="00F6445A">
        <w:rPr>
          <w:rFonts w:ascii="Times New Roman" w:eastAsia="Times New Roman" w:hAnsi="Times New Roman" w:cs="Times New Roman"/>
          <w:sz w:val="24"/>
          <w:szCs w:val="24"/>
          <w:lang w:eastAsia="en-IN"/>
        </w:rPr>
        <w:t>artifacts</w:t>
      </w:r>
      <w:proofErr w:type="spellEnd"/>
      <w:r w:rsidRPr="00F6445A">
        <w:rPr>
          <w:rFonts w:ascii="Times New Roman" w:eastAsia="Times New Roman" w:hAnsi="Times New Roman" w:cs="Times New Roman"/>
          <w:sz w:val="24"/>
          <w:szCs w:val="24"/>
          <w:lang w:eastAsia="en-IN"/>
        </w:rPr>
        <w:t xml:space="preserve"> arising from global translational and rotational motions. The cross correlation coefficient between the alpha carbon (CA) atoms of the protein backbone was calculated by generating a spatial covariance matrix of the 3D atomic fluctuations, which was subsequently normalized to yield Pearson correlation coefficients ranging from +1 (fully correlated motion) to -1 (fully anti correlated motion).</w:t>
      </w:r>
    </w:p>
    <w:p w:rsidR="00F6445A" w:rsidRPr="00F6445A" w:rsidRDefault="00F6445A" w:rsidP="00F6445A">
      <w:pPr>
        <w:spacing w:before="100" w:beforeAutospacing="1" w:after="100" w:afterAutospacing="1" w:line="240" w:lineRule="auto"/>
        <w:rPr>
          <w:rFonts w:ascii="Times New Roman" w:eastAsia="Times New Roman" w:hAnsi="Times New Roman" w:cs="Times New Roman"/>
          <w:sz w:val="24"/>
          <w:szCs w:val="24"/>
          <w:lang w:eastAsia="en-IN"/>
        </w:rPr>
      </w:pPr>
      <w:r w:rsidRPr="00F6445A">
        <w:rPr>
          <w:rFonts w:ascii="Times New Roman" w:eastAsia="Times New Roman" w:hAnsi="Times New Roman" w:cs="Times New Roman"/>
          <w:sz w:val="24"/>
          <w:szCs w:val="24"/>
          <w:lang w:eastAsia="en-IN"/>
        </w:rPr>
        <w:t xml:space="preserve">To robustly isolate significant long range allosteric networks, trivial correlations arising from immediate secondary structure proximity were systematically filtered out by excluding residue pairs separated by fewer than five sequence positions. A strict absolute correlation </w:t>
      </w:r>
      <w:r w:rsidRPr="00F6445A">
        <w:rPr>
          <w:rFonts w:ascii="Times New Roman" w:eastAsia="Times New Roman" w:hAnsi="Times New Roman" w:cs="Times New Roman"/>
          <w:sz w:val="24"/>
          <w:szCs w:val="24"/>
          <w:lang w:eastAsia="en-IN"/>
        </w:rPr>
        <w:lastRenderedPageBreak/>
        <w:t>threshold of 0.5 was subsequently applied to define biologically significant communication pathways.</w:t>
      </w:r>
    </w:p>
    <w:p w:rsidR="00F6445A" w:rsidRPr="00F6445A" w:rsidRDefault="00F6445A" w:rsidP="00F6445A">
      <w:pPr>
        <w:spacing w:before="100" w:beforeAutospacing="1" w:after="100" w:afterAutospacing="1" w:line="240" w:lineRule="auto"/>
        <w:rPr>
          <w:rFonts w:ascii="Times New Roman" w:eastAsia="Times New Roman" w:hAnsi="Times New Roman" w:cs="Times New Roman"/>
          <w:sz w:val="24"/>
          <w:szCs w:val="24"/>
          <w:lang w:eastAsia="en-IN"/>
        </w:rPr>
      </w:pPr>
      <w:r w:rsidRPr="00F6445A">
        <w:rPr>
          <w:rFonts w:ascii="Times New Roman" w:eastAsia="Times New Roman" w:hAnsi="Times New Roman" w:cs="Times New Roman"/>
          <w:sz w:val="24"/>
          <w:szCs w:val="24"/>
          <w:lang w:eastAsia="en-IN"/>
        </w:rPr>
        <w:t>To evaluate the macro level allosteric impact of the generated scaffolds, the residue level correlation data was aggregated into specific functional motif pairs to construct a comparative "Allosteric Fingerprint" for each ligand complex. For the wild type JH1 domain, inter motif communication was tracked across the P loop (residue 855), the Hinge region (residue 932), and the DFG motif (residue 994). Correspondingly, within the mutated JH2 domain, communication was monitored across its structurally equivalent P loop (residue 536), Hinge (residue 596), and DFG motif (residue 655). This precise structural aggregation allowed for the direct measurement of inter domain communication and structural synchronization, serving to biologically validate the deep thermodynamic kinetic traps identified in the free energy landscapes.</w:t>
      </w:r>
    </w:p>
    <w:p w:rsidR="00E74A4B" w:rsidRP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r w:rsidRPr="00E74A4B">
        <w:rPr>
          <w:rFonts w:ascii="Times New Roman" w:eastAsia="Times New Roman" w:hAnsi="Times New Roman" w:cs="Times New Roman"/>
          <w:b/>
          <w:bCs/>
          <w:sz w:val="24"/>
          <w:szCs w:val="24"/>
          <w:lang w:eastAsia="en-IN"/>
        </w:rPr>
        <w:t>Ramachandran Backbone Conformation and Flexibility Analysis</w:t>
      </w:r>
      <w:r w:rsidRPr="00E74A4B">
        <w:rPr>
          <w:rFonts w:ascii="Times New Roman" w:eastAsia="Times New Roman" w:hAnsi="Times New Roman" w:cs="Times New Roman"/>
          <w:sz w:val="24"/>
          <w:szCs w:val="24"/>
          <w:lang w:eastAsia="en-IN"/>
        </w:rPr>
        <w:t xml:space="preserve"> To verify that the AI-generated candidates did not induce non-physiological peptide bond distortion, global backbone denaturation, or structural destabilization, Ramachandran dihedral distribution analysis was performed using </w:t>
      </w:r>
      <w:proofErr w:type="spellStart"/>
      <w:r w:rsidRPr="00E74A4B">
        <w:rPr>
          <w:rFonts w:ascii="Times New Roman" w:eastAsia="Times New Roman" w:hAnsi="Times New Roman" w:cs="Times New Roman"/>
          <w:sz w:val="24"/>
          <w:szCs w:val="24"/>
          <w:lang w:eastAsia="en-IN"/>
        </w:rPr>
        <w:t>MDAnalysis</w:t>
      </w:r>
      <w:proofErr w:type="spellEnd"/>
      <w:r w:rsidRPr="00E74A4B">
        <w:rPr>
          <w:rFonts w:ascii="Times New Roman" w:eastAsia="Times New Roman" w:hAnsi="Times New Roman" w:cs="Times New Roman"/>
          <w:sz w:val="24"/>
          <w:szCs w:val="24"/>
          <w:lang w:eastAsia="en-IN"/>
        </w:rPr>
        <w:t xml:space="preserve">. The alpha-carbon and backbone amine coordinates were extracted across the independent triplicate trajectories to capture the temporal evolution of the protein main chain. The structural ensemble was mapped onto a two-dimensional grid of backbone phi (\Phi) and psi (\Psi) torsion angles utilizing the integrated Ramachandran module. </w:t>
      </w:r>
    </w:p>
    <w:p w:rsidR="00E74A4B" w:rsidRP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r w:rsidRPr="00E74A4B">
        <w:rPr>
          <w:rFonts w:ascii="Times New Roman" w:eastAsia="Times New Roman" w:hAnsi="Times New Roman" w:cs="Times New Roman"/>
          <w:sz w:val="24"/>
          <w:szCs w:val="24"/>
          <w:lang w:eastAsia="en-IN"/>
        </w:rPr>
        <w:t xml:space="preserve">For each individual frame, uncalculated angles near the terminal residues were systematically masked and filtered out to eliminate boundary </w:t>
      </w:r>
      <w:proofErr w:type="spellStart"/>
      <w:r w:rsidRPr="00E74A4B">
        <w:rPr>
          <w:rFonts w:ascii="Times New Roman" w:eastAsia="Times New Roman" w:hAnsi="Times New Roman" w:cs="Times New Roman"/>
          <w:sz w:val="24"/>
          <w:szCs w:val="24"/>
          <w:lang w:eastAsia="en-IN"/>
        </w:rPr>
        <w:t>artifacts</w:t>
      </w:r>
      <w:proofErr w:type="spellEnd"/>
      <w:r w:rsidRPr="00E74A4B">
        <w:rPr>
          <w:rFonts w:ascii="Times New Roman" w:eastAsia="Times New Roman" w:hAnsi="Times New Roman" w:cs="Times New Roman"/>
          <w:sz w:val="24"/>
          <w:szCs w:val="24"/>
          <w:lang w:eastAsia="en-IN"/>
        </w:rPr>
        <w:t xml:space="preserve">. The resulting population density of valid dihedral pairs was mapped onto a continuous coordinate space from -180 degrees to +180 degrees using two-dimensional kernel density estimation (KDE) contour mapping (thresh = 0.01, 15 levels) via </w:t>
      </w:r>
      <w:proofErr w:type="spellStart"/>
      <w:r w:rsidRPr="00E74A4B">
        <w:rPr>
          <w:rFonts w:ascii="Times New Roman" w:eastAsia="Times New Roman" w:hAnsi="Times New Roman" w:cs="Times New Roman"/>
          <w:sz w:val="24"/>
          <w:szCs w:val="24"/>
          <w:lang w:eastAsia="en-IN"/>
        </w:rPr>
        <w:t>Seaborn</w:t>
      </w:r>
      <w:proofErr w:type="spellEnd"/>
      <w:r w:rsidRPr="00E74A4B">
        <w:rPr>
          <w:rFonts w:ascii="Times New Roman" w:eastAsia="Times New Roman" w:hAnsi="Times New Roman" w:cs="Times New Roman"/>
          <w:sz w:val="24"/>
          <w:szCs w:val="24"/>
          <w:lang w:eastAsia="en-IN"/>
        </w:rPr>
        <w:t xml:space="preserve"> to track conformational cluster migration. </w:t>
      </w:r>
    </w:p>
    <w:p w:rsidR="00E74A4B" w:rsidRP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r w:rsidRPr="00E74A4B">
        <w:rPr>
          <w:rFonts w:ascii="Times New Roman" w:eastAsia="Times New Roman" w:hAnsi="Times New Roman" w:cs="Times New Roman"/>
          <w:sz w:val="24"/>
          <w:szCs w:val="24"/>
          <w:lang w:eastAsia="en-IN"/>
        </w:rPr>
        <w:t xml:space="preserve">To accurately quantify global backbone plasticity without the numerical distortions caused by angular wrap-around at the -180/+180 degree periodic boundary, circular statistics were implemented. The standard deviation of the dihedral angles over time was calculated individually for each residue position by transforming the values into unitary vectors according to the equations: </w:t>
      </w:r>
    </w:p>
    <w:p w:rsid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p>
    <w:p w:rsid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r w:rsidRPr="00E74A4B">
        <w:rPr>
          <w:rFonts w:ascii="Times New Roman" w:eastAsia="Times New Roman" w:hAnsi="Times New Roman" w:cs="Times New Roman"/>
          <w:noProof/>
          <w:sz w:val="24"/>
          <w:szCs w:val="24"/>
          <w:lang w:eastAsia="en-IN"/>
        </w:rPr>
        <w:drawing>
          <wp:inline distT="0" distB="0" distL="0" distR="0" wp14:anchorId="1E0F47EA" wp14:editId="681A60A7">
            <wp:extent cx="1247784" cy="20383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247784" cy="2038365"/>
                    </a:xfrm>
                    <a:prstGeom prst="rect">
                      <a:avLst/>
                    </a:prstGeom>
                  </pic:spPr>
                </pic:pic>
              </a:graphicData>
            </a:graphic>
          </wp:inline>
        </w:drawing>
      </w:r>
    </w:p>
    <w:p w:rsid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p>
    <w:p w:rsidR="00E74A4B" w:rsidRP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A4B">
        <w:rPr>
          <w:rFonts w:ascii="Times New Roman" w:eastAsia="Times New Roman" w:hAnsi="Times New Roman" w:cs="Times New Roman"/>
          <w:sz w:val="24"/>
          <w:szCs w:val="24"/>
          <w:lang w:eastAsia="en-IN"/>
        </w:rPr>
        <w:t>where</w:t>
      </w:r>
      <w:proofErr w:type="gramEnd"/>
      <w:r w:rsidRPr="00E74A4B">
        <w:rPr>
          <w:rFonts w:ascii="Times New Roman" w:eastAsia="Times New Roman" w:hAnsi="Times New Roman" w:cs="Times New Roman"/>
          <w:sz w:val="24"/>
          <w:szCs w:val="24"/>
          <w:lang w:eastAsia="en-IN"/>
        </w:rPr>
        <w:t xml:space="preserve"> \</w:t>
      </w:r>
      <w:proofErr w:type="spellStart"/>
      <w:r w:rsidRPr="00E74A4B">
        <w:rPr>
          <w:rFonts w:ascii="Times New Roman" w:eastAsia="Times New Roman" w:hAnsi="Times New Roman" w:cs="Times New Roman"/>
          <w:sz w:val="24"/>
          <w:szCs w:val="24"/>
          <w:lang w:eastAsia="en-IN"/>
        </w:rPr>
        <w:t>theta_i</w:t>
      </w:r>
      <w:proofErr w:type="spellEnd"/>
      <w:r w:rsidRPr="00E74A4B">
        <w:rPr>
          <w:rFonts w:ascii="Times New Roman" w:eastAsia="Times New Roman" w:hAnsi="Times New Roman" w:cs="Times New Roman"/>
          <w:sz w:val="24"/>
          <w:szCs w:val="24"/>
          <w:lang w:eastAsia="en-IN"/>
        </w:rPr>
        <w:t xml:space="preserve"> represents the backbone dihedral angle in radians. The final circular standard deviation in radians (\sigma_{rad}) was determined via: </w:t>
      </w:r>
    </w:p>
    <w:p w:rsid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r w:rsidRPr="00E74A4B">
        <w:rPr>
          <w:rFonts w:ascii="Times New Roman" w:eastAsia="Times New Roman" w:hAnsi="Times New Roman" w:cs="Times New Roman"/>
          <w:noProof/>
          <w:sz w:val="24"/>
          <w:szCs w:val="24"/>
          <w:lang w:eastAsia="en-IN"/>
        </w:rPr>
        <w:drawing>
          <wp:inline distT="0" distB="0" distL="0" distR="0" wp14:anchorId="75AA096B" wp14:editId="66265FED">
            <wp:extent cx="1428760" cy="3429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28760" cy="342903"/>
                    </a:xfrm>
                    <a:prstGeom prst="rect">
                      <a:avLst/>
                    </a:prstGeom>
                  </pic:spPr>
                </pic:pic>
              </a:graphicData>
            </a:graphic>
          </wp:inline>
        </w:drawing>
      </w:r>
    </w:p>
    <w:p w:rsidR="00E74A4B" w:rsidRPr="00E74A4B" w:rsidRDefault="00E74A4B" w:rsidP="00E74A4B">
      <w:pPr>
        <w:spacing w:before="100" w:beforeAutospacing="1" w:after="100" w:afterAutospacing="1" w:line="240" w:lineRule="auto"/>
        <w:rPr>
          <w:rFonts w:ascii="Times New Roman" w:eastAsia="Times New Roman" w:hAnsi="Times New Roman" w:cs="Times New Roman"/>
          <w:sz w:val="24"/>
          <w:szCs w:val="24"/>
          <w:lang w:eastAsia="en-IN"/>
        </w:rPr>
      </w:pPr>
      <w:r w:rsidRPr="00E74A4B">
        <w:rPr>
          <w:rFonts w:ascii="Times New Roman" w:eastAsia="Times New Roman" w:hAnsi="Times New Roman" w:cs="Times New Roman"/>
          <w:sz w:val="24"/>
          <w:szCs w:val="24"/>
          <w:lang w:eastAsia="en-IN"/>
        </w:rPr>
        <w:t xml:space="preserve">and subsequently converted back to degrees. The overall structural flexibility of each system was defined as the average circular standard deviation of both the phi and psi distributions across all core amino acid positions. Replicate datasets were ensemble-averaged to establish the master thermodynamic and geometric baseline for each targeted ligand complex </w:t>
      </w:r>
    </w:p>
    <w:p w:rsidR="006E018B" w:rsidRPr="003571DF" w:rsidRDefault="006E018B" w:rsidP="003571DF"/>
    <w:sectPr w:rsidR="006E018B" w:rsidRPr="00357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294"/>
    <w:rsid w:val="001B4191"/>
    <w:rsid w:val="003571DF"/>
    <w:rsid w:val="003D2294"/>
    <w:rsid w:val="00430C80"/>
    <w:rsid w:val="004C0DD2"/>
    <w:rsid w:val="006E018B"/>
    <w:rsid w:val="00BA099A"/>
    <w:rsid w:val="00DC1AEC"/>
    <w:rsid w:val="00E74A4B"/>
    <w:rsid w:val="00F136DF"/>
    <w:rsid w:val="00F6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BA66E-CBE9-4E42-B3AD-46F4D89E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09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A099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099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A099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A09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099A"/>
    <w:rPr>
      <w:rFonts w:ascii="Courier New" w:eastAsia="Times New Roman" w:hAnsi="Courier New" w:cs="Courier New"/>
      <w:sz w:val="20"/>
      <w:szCs w:val="20"/>
    </w:rPr>
  </w:style>
  <w:style w:type="character" w:customStyle="1" w:styleId="math-inline">
    <w:name w:val="math-inline"/>
    <w:basedOn w:val="DefaultParagraphFont"/>
    <w:rsid w:val="00430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84484">
      <w:bodyDiv w:val="1"/>
      <w:marLeft w:val="0"/>
      <w:marRight w:val="0"/>
      <w:marTop w:val="0"/>
      <w:marBottom w:val="0"/>
      <w:divBdr>
        <w:top w:val="none" w:sz="0" w:space="0" w:color="auto"/>
        <w:left w:val="none" w:sz="0" w:space="0" w:color="auto"/>
        <w:bottom w:val="none" w:sz="0" w:space="0" w:color="auto"/>
        <w:right w:val="none" w:sz="0" w:space="0" w:color="auto"/>
      </w:divBdr>
    </w:div>
    <w:div w:id="324746506">
      <w:bodyDiv w:val="1"/>
      <w:marLeft w:val="0"/>
      <w:marRight w:val="0"/>
      <w:marTop w:val="0"/>
      <w:marBottom w:val="0"/>
      <w:divBdr>
        <w:top w:val="none" w:sz="0" w:space="0" w:color="auto"/>
        <w:left w:val="none" w:sz="0" w:space="0" w:color="auto"/>
        <w:bottom w:val="none" w:sz="0" w:space="0" w:color="auto"/>
        <w:right w:val="none" w:sz="0" w:space="0" w:color="auto"/>
      </w:divBdr>
    </w:div>
    <w:div w:id="868373885">
      <w:bodyDiv w:val="1"/>
      <w:marLeft w:val="0"/>
      <w:marRight w:val="0"/>
      <w:marTop w:val="0"/>
      <w:marBottom w:val="0"/>
      <w:divBdr>
        <w:top w:val="none" w:sz="0" w:space="0" w:color="auto"/>
        <w:left w:val="none" w:sz="0" w:space="0" w:color="auto"/>
        <w:bottom w:val="none" w:sz="0" w:space="0" w:color="auto"/>
        <w:right w:val="none" w:sz="0" w:space="0" w:color="auto"/>
      </w:divBdr>
    </w:div>
    <w:div w:id="1084688093">
      <w:bodyDiv w:val="1"/>
      <w:marLeft w:val="0"/>
      <w:marRight w:val="0"/>
      <w:marTop w:val="0"/>
      <w:marBottom w:val="0"/>
      <w:divBdr>
        <w:top w:val="none" w:sz="0" w:space="0" w:color="auto"/>
        <w:left w:val="none" w:sz="0" w:space="0" w:color="auto"/>
        <w:bottom w:val="none" w:sz="0" w:space="0" w:color="auto"/>
        <w:right w:val="none" w:sz="0" w:space="0" w:color="auto"/>
      </w:divBdr>
    </w:div>
    <w:div w:id="1332638112">
      <w:bodyDiv w:val="1"/>
      <w:marLeft w:val="0"/>
      <w:marRight w:val="0"/>
      <w:marTop w:val="0"/>
      <w:marBottom w:val="0"/>
      <w:divBdr>
        <w:top w:val="none" w:sz="0" w:space="0" w:color="auto"/>
        <w:left w:val="none" w:sz="0" w:space="0" w:color="auto"/>
        <w:bottom w:val="none" w:sz="0" w:space="0" w:color="auto"/>
        <w:right w:val="none" w:sz="0" w:space="0" w:color="auto"/>
      </w:divBdr>
    </w:div>
    <w:div w:id="2010517311">
      <w:bodyDiv w:val="1"/>
      <w:marLeft w:val="0"/>
      <w:marRight w:val="0"/>
      <w:marTop w:val="0"/>
      <w:marBottom w:val="0"/>
      <w:divBdr>
        <w:top w:val="none" w:sz="0" w:space="0" w:color="auto"/>
        <w:left w:val="none" w:sz="0" w:space="0" w:color="auto"/>
        <w:bottom w:val="none" w:sz="0" w:space="0" w:color="auto"/>
        <w:right w:val="none" w:sz="0" w:space="0" w:color="auto"/>
      </w:divBdr>
    </w:div>
    <w:div w:id="2049066168">
      <w:bodyDiv w:val="1"/>
      <w:marLeft w:val="0"/>
      <w:marRight w:val="0"/>
      <w:marTop w:val="0"/>
      <w:marBottom w:val="0"/>
      <w:divBdr>
        <w:top w:val="none" w:sz="0" w:space="0" w:color="auto"/>
        <w:left w:val="none" w:sz="0" w:space="0" w:color="auto"/>
        <w:bottom w:val="none" w:sz="0" w:space="0" w:color="auto"/>
        <w:right w:val="none" w:sz="0" w:space="0" w:color="auto"/>
      </w:divBdr>
      <w:divsChild>
        <w:div w:id="968048479">
          <w:marLeft w:val="0"/>
          <w:marRight w:val="0"/>
          <w:marTop w:val="0"/>
          <w:marBottom w:val="0"/>
          <w:divBdr>
            <w:top w:val="none" w:sz="0" w:space="0" w:color="auto"/>
            <w:left w:val="none" w:sz="0" w:space="0" w:color="auto"/>
            <w:bottom w:val="none" w:sz="0" w:space="0" w:color="auto"/>
            <w:right w:val="none" w:sz="0" w:space="0" w:color="auto"/>
          </w:divBdr>
          <w:divsChild>
            <w:div w:id="1444692327">
              <w:marLeft w:val="0"/>
              <w:marRight w:val="0"/>
              <w:marTop w:val="0"/>
              <w:marBottom w:val="0"/>
              <w:divBdr>
                <w:top w:val="none" w:sz="0" w:space="0" w:color="auto"/>
                <w:left w:val="none" w:sz="0" w:space="0" w:color="auto"/>
                <w:bottom w:val="none" w:sz="0" w:space="0" w:color="auto"/>
                <w:right w:val="none" w:sz="0" w:space="0" w:color="auto"/>
              </w:divBdr>
            </w:div>
          </w:divsChild>
        </w:div>
        <w:div w:id="1040205364">
          <w:marLeft w:val="0"/>
          <w:marRight w:val="0"/>
          <w:marTop w:val="0"/>
          <w:marBottom w:val="0"/>
          <w:divBdr>
            <w:top w:val="none" w:sz="0" w:space="0" w:color="auto"/>
            <w:left w:val="none" w:sz="0" w:space="0" w:color="auto"/>
            <w:bottom w:val="none" w:sz="0" w:space="0" w:color="auto"/>
            <w:right w:val="none" w:sz="0" w:space="0" w:color="auto"/>
          </w:divBdr>
          <w:divsChild>
            <w:div w:id="1139999963">
              <w:marLeft w:val="0"/>
              <w:marRight w:val="0"/>
              <w:marTop w:val="0"/>
              <w:marBottom w:val="0"/>
              <w:divBdr>
                <w:top w:val="none" w:sz="0" w:space="0" w:color="auto"/>
                <w:left w:val="none" w:sz="0" w:space="0" w:color="auto"/>
                <w:bottom w:val="none" w:sz="0" w:space="0" w:color="auto"/>
                <w:right w:val="none" w:sz="0" w:space="0" w:color="auto"/>
              </w:divBdr>
            </w:div>
          </w:divsChild>
        </w:div>
        <w:div w:id="1544630467">
          <w:marLeft w:val="0"/>
          <w:marRight w:val="0"/>
          <w:marTop w:val="0"/>
          <w:marBottom w:val="0"/>
          <w:divBdr>
            <w:top w:val="none" w:sz="0" w:space="0" w:color="auto"/>
            <w:left w:val="none" w:sz="0" w:space="0" w:color="auto"/>
            <w:bottom w:val="none" w:sz="0" w:space="0" w:color="auto"/>
            <w:right w:val="none" w:sz="0" w:space="0" w:color="auto"/>
          </w:divBdr>
          <w:divsChild>
            <w:div w:id="1334147717">
              <w:marLeft w:val="0"/>
              <w:marRight w:val="0"/>
              <w:marTop w:val="0"/>
              <w:marBottom w:val="0"/>
              <w:divBdr>
                <w:top w:val="none" w:sz="0" w:space="0" w:color="auto"/>
                <w:left w:val="none" w:sz="0" w:space="0" w:color="auto"/>
                <w:bottom w:val="none" w:sz="0" w:space="0" w:color="auto"/>
                <w:right w:val="none" w:sz="0" w:space="0" w:color="auto"/>
              </w:divBdr>
            </w:div>
          </w:divsChild>
        </w:div>
        <w:div w:id="1074543383">
          <w:marLeft w:val="0"/>
          <w:marRight w:val="0"/>
          <w:marTop w:val="0"/>
          <w:marBottom w:val="0"/>
          <w:divBdr>
            <w:top w:val="none" w:sz="0" w:space="0" w:color="auto"/>
            <w:left w:val="none" w:sz="0" w:space="0" w:color="auto"/>
            <w:bottom w:val="none" w:sz="0" w:space="0" w:color="auto"/>
            <w:right w:val="none" w:sz="0" w:space="0" w:color="auto"/>
          </w:divBdr>
          <w:divsChild>
            <w:div w:id="7892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1560">
      <w:bodyDiv w:val="1"/>
      <w:marLeft w:val="0"/>
      <w:marRight w:val="0"/>
      <w:marTop w:val="0"/>
      <w:marBottom w:val="0"/>
      <w:divBdr>
        <w:top w:val="none" w:sz="0" w:space="0" w:color="auto"/>
        <w:left w:val="none" w:sz="0" w:space="0" w:color="auto"/>
        <w:bottom w:val="none" w:sz="0" w:space="0" w:color="auto"/>
        <w:right w:val="none" w:sz="0" w:space="0" w:color="auto"/>
      </w:divBdr>
    </w:div>
    <w:div w:id="212961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2534</Words>
  <Characters>14448</Characters>
  <Application>Microsoft Office Word</Application>
  <DocSecurity>0</DocSecurity>
  <Lines>120</Lines>
  <Paragraphs>33</Paragraphs>
  <ScaleCrop>false</ScaleCrop>
  <Company/>
  <LinksUpToDate>false</LinksUpToDate>
  <CharactersWithSpaces>16949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dc:creator>
  <cp:keywords/>
  <dc:description/>
  <cp:lastModifiedBy>Shri</cp:lastModifiedBy>
  <cp:revision>13</cp:revision>
  <dcterms:created xsi:type="dcterms:W3CDTF">2026-06-17T10:47:00Z</dcterms:created>
  <dcterms:modified xsi:type="dcterms:W3CDTF">2026-06-19T01:09:00Z</dcterms:modified>
</cp:coreProperties>
</file>