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572A" w14:textId="134C9798" w:rsidR="003B278B" w:rsidRDefault="003B2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Automating Deployment :</w:t>
      </w:r>
    </w:p>
    <w:p w14:paraId="7C605996" w14:textId="3E1D95C6" w:rsidR="003B278B" w:rsidRDefault="003B278B">
      <w:pPr>
        <w:rPr>
          <w:b/>
          <w:bCs/>
          <w:sz w:val="28"/>
          <w:szCs w:val="28"/>
        </w:rPr>
      </w:pPr>
      <w:hyperlink r:id="rId5" w:history="1">
        <w:r>
          <w:rPr>
            <w:rStyle w:val="Hyperlink"/>
          </w:rPr>
          <w:t>https://pierrevillard.com/2018/04/09/automate-workflow-deployment-in-apache-nifi-with-the-nifi-registry/</w:t>
        </w:r>
      </w:hyperlink>
      <w:bookmarkStart w:id="0" w:name="_GoBack"/>
      <w:bookmarkEnd w:id="0"/>
    </w:p>
    <w:p w14:paraId="6864E3DF" w14:textId="243A658B" w:rsidR="00F64114" w:rsidRPr="0047738C" w:rsidRDefault="0047738C">
      <w:pPr>
        <w:rPr>
          <w:b/>
          <w:bCs/>
          <w:sz w:val="28"/>
          <w:szCs w:val="28"/>
        </w:rPr>
      </w:pPr>
      <w:r w:rsidRPr="0047738C">
        <w:rPr>
          <w:b/>
          <w:bCs/>
          <w:sz w:val="28"/>
          <w:szCs w:val="28"/>
        </w:rPr>
        <w:t>Nifi Cluster Sizing</w:t>
      </w:r>
    </w:p>
    <w:p w14:paraId="25390FC0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i/>
          <w:iCs/>
          <w:color w:val="333333"/>
          <w:sz w:val="24"/>
          <w:szCs w:val="24"/>
        </w:rPr>
        <w:t>Hardware Considerations for HDF</w:t>
      </w:r>
    </w:p>
    <w:p w14:paraId="191DFDE9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- General Hardware</w:t>
      </w:r>
    </w:p>
    <w:p w14:paraId="2EA2A039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A key design point of NiFi is to use typical enterprise class application servers.</w:t>
      </w:r>
    </w:p>
    <w:p w14:paraId="2FE9769C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Hardware failure:</w:t>
      </w:r>
    </w:p>
    <w:p w14:paraId="2A781896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Nodes are typically configured with RAID 5/10 to handle hardware failures through replication, redundancy</w:t>
      </w:r>
    </w:p>
    <w:p w14:paraId="5C540B22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More nodes means less impact from failure.</w:t>
      </w:r>
    </w:p>
    <w:p w14:paraId="1F3BEC9F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More nodes provide increased throughput.</w:t>
      </w:r>
    </w:p>
    <w:p w14:paraId="58F15E5C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- Machine Class</w:t>
      </w:r>
    </w:p>
    <w:p w14:paraId="3EBDDE04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A NiFi cluster consists of a single class of machine</w:t>
      </w:r>
    </w:p>
    <w:p w14:paraId="14FB1D31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Balanced NiFi Node:</w:t>
      </w:r>
    </w:p>
    <w:p w14:paraId="009B9D32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8 CPU cores per node minimum.</w:t>
      </w:r>
    </w:p>
    <w:p w14:paraId="6CEA4A13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6 Hard disks per node minimum, Spinning or SSD base on throughput requirements.</w:t>
      </w:r>
    </w:p>
    <w:p w14:paraId="73289C9B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8 GB of RAM per node minimum.</w:t>
      </w:r>
    </w:p>
    <w:p w14:paraId="780CECA7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Designed for availability.</w:t>
      </w:r>
    </w:p>
    <w:p w14:paraId="22DFB6BC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Typical enterprise class application server.</w:t>
      </w:r>
    </w:p>
    <w:p w14:paraId="7B720BB5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Resilience built into the server itself (RAID)</w:t>
      </w:r>
    </w:p>
    <w:p w14:paraId="61380E8C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Cost reduced where possible to strike proper price/performance ratio owing to volume.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 xml:space="preserve">- </w:t>
      </w:r>
      <w:proofErr w:type="spellStart"/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Networking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Network</w:t>
      </w:r>
      <w:proofErr w:type="spellEnd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decisions play a role due to the clustered nature of data processing.</w:t>
      </w:r>
    </w:p>
    <w:p w14:paraId="3E92EB00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In-rack backplane/Top-of-rack Switch:</w:t>
      </w:r>
    </w:p>
    <w:p w14:paraId="254E262F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Keeps traffic local and reduces load on expensive aggregate </w:t>
      </w:r>
      <w:proofErr w:type="spellStart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switches.Dual</w:t>
      </w:r>
      <w:proofErr w:type="spellEnd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NIC Recommended:</w:t>
      </w:r>
    </w:p>
    <w:p w14:paraId="421BA1FB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Depends on NTW requirements.10G Recommended:</w:t>
      </w:r>
    </w:p>
    <w:p w14:paraId="3921E9E8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Immediate cost vs Future-proofing.</w:t>
      </w:r>
    </w:p>
    <w:p w14:paraId="65174D4F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Investment in 10G upfront will survive next 2-3 server hardware upgrades.</w:t>
      </w:r>
    </w:p>
    <w:p w14:paraId="49FDBC58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Symbol" w:cs="Times New Roman"/>
          <w:color w:val="333333"/>
          <w:sz w:val="24"/>
          <w:szCs w:val="24"/>
        </w:rPr>
        <w:t>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 In-rack/top-of-rack switches allow Cat6 copper or </w:t>
      </w:r>
      <w:proofErr w:type="spellStart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Twinax</w:t>
      </w:r>
      <w:proofErr w:type="spellEnd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to reduce 10G costs.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- NiFi: Hardware Driving Factors</w:t>
      </w:r>
    </w:p>
    <w:p w14:paraId="262F6459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NIFI is designed to take advantage of:</w:t>
      </w:r>
    </w:p>
    <w:p w14:paraId="03295EC9" w14:textId="77777777" w:rsidR="0047738C" w:rsidRPr="0047738C" w:rsidRDefault="0047738C" w:rsidP="00477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all the cores on a machine</w:t>
      </w:r>
    </w:p>
    <w:p w14:paraId="6525FE30" w14:textId="77777777" w:rsidR="0047738C" w:rsidRPr="0047738C" w:rsidRDefault="0047738C" w:rsidP="00477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all the network capacity</w:t>
      </w:r>
    </w:p>
    <w:p w14:paraId="7D9567FB" w14:textId="77777777" w:rsidR="0047738C" w:rsidRPr="0047738C" w:rsidRDefault="0047738C" w:rsidP="00477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all the disk speed</w:t>
      </w:r>
    </w:p>
    <w:p w14:paraId="67C2F248" w14:textId="77777777" w:rsidR="0047738C" w:rsidRPr="0047738C" w:rsidRDefault="0047738C" w:rsidP="00477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many GB of RAM (though usually not all) on a system</w:t>
      </w:r>
    </w:p>
    <w:p w14:paraId="3CD595CA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Most important hardware factors :</w:t>
      </w:r>
    </w:p>
    <w:p w14:paraId="68E033DB" w14:textId="77777777" w:rsidR="0047738C" w:rsidRPr="0047738C" w:rsidRDefault="0047738C" w:rsidP="00477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Top-end disk throughput as configured which is a combination of seek time and raw performance</w:t>
      </w:r>
    </w:p>
    <w:p w14:paraId="7C3251B7" w14:textId="77777777" w:rsidR="0047738C" w:rsidRPr="0047738C" w:rsidRDefault="0047738C" w:rsidP="00477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Network speed</w:t>
      </w:r>
    </w:p>
    <w:p w14:paraId="3175CEAB" w14:textId="77777777" w:rsidR="0047738C" w:rsidRPr="0047738C" w:rsidRDefault="0047738C" w:rsidP="00477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lastRenderedPageBreak/>
        <w:t>CPU only a concern when there is a lot of compression, encryption, or media analytics</w:t>
      </w:r>
    </w:p>
    <w:p w14:paraId="0F865343" w14:textId="77777777" w:rsidR="0047738C" w:rsidRPr="0047738C" w:rsidRDefault="0047738C" w:rsidP="00477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Need to ensure flow can take advantage of the contiguous block allocation approach </w:t>
      </w:r>
      <w:proofErr w:type="spellStart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NiFiuses</w:t>
      </w:r>
      <w:proofErr w:type="spellEnd"/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 xml:space="preserve"> or it will result in lots of random seeks thus increasing seek times and decreasing effective throughput.</w:t>
      </w:r>
    </w:p>
    <w:p w14:paraId="2F34DC5A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  <w:r w:rsidRPr="0047738C">
        <w:rPr>
          <w:rFonts w:ascii="NeuePlakText-bold" w:eastAsia="Times New Roman" w:hAnsi="NeuePlakText-bold" w:cs="Times New Roman"/>
          <w:i/>
          <w:iCs/>
          <w:color w:val="333333"/>
          <w:sz w:val="24"/>
          <w:szCs w:val="24"/>
        </w:rPr>
        <w:t>3) HDF Disk Partition Baseline</w:t>
      </w:r>
    </w:p>
    <w:p w14:paraId="19F62637" w14:textId="4D2B5C2C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noProof/>
          <w:color w:val="333333"/>
          <w:sz w:val="24"/>
          <w:szCs w:val="24"/>
        </w:rPr>
        <w:drawing>
          <wp:inline distT="0" distB="0" distL="0" distR="0" wp14:anchorId="16B0AC9B" wp14:editId="515F3970">
            <wp:extent cx="3796665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C454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048C94C6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203423A2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i/>
          <w:iCs/>
          <w:color w:val="333333"/>
          <w:sz w:val="24"/>
          <w:szCs w:val="24"/>
        </w:rPr>
        <w:t>4) Disk Partitioning – Nifi Nodes (Repositories)</w:t>
      </w:r>
    </w:p>
    <w:p w14:paraId="0B47BE12" w14:textId="53C9B9EB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noProof/>
          <w:color w:val="333333"/>
          <w:sz w:val="24"/>
          <w:szCs w:val="24"/>
        </w:rPr>
        <w:drawing>
          <wp:inline distT="0" distB="0" distL="0" distR="0" wp14:anchorId="12DA7EFE" wp14:editId="7B7BB488">
            <wp:extent cx="3808095" cy="15513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5F33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4B781D3D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5A0694B6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5) NiFi: Default Cluster Recommendation</w:t>
      </w:r>
    </w:p>
    <w:p w14:paraId="4983E501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When not provided with information to gauge the rate and complexity of data flow, start with a default cluster of three nodes. Three nodes are needed for HA by Zookeeper Quorum process.</w:t>
      </w:r>
    </w:p>
    <w:p w14:paraId="63F53DDD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The SKU is priced for cores, but it can be split up. So, a 16 core SKU can be split into 3 machines of 4 cores each. More cores per node will improve throughput (up to an extent).</w:t>
      </w:r>
    </w:p>
    <w:p w14:paraId="525333B5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t>So, starting cluster for, say, 50MB/s sustained throughput for average Flow is:</w:t>
      </w:r>
    </w:p>
    <w:p w14:paraId="5CF37A39" w14:textId="77777777" w:rsidR="0047738C" w:rsidRPr="0047738C" w:rsidRDefault="0047738C" w:rsidP="0047738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3 nodes each with:</w:t>
      </w:r>
      <w:r w:rsidRPr="0047738C">
        <w:rPr>
          <w:rFonts w:ascii="NeuePlakText-Regular" w:eastAsia="Times New Roman" w:hAnsi="NeuePlakText-Regular" w:cs="Times New Roman"/>
          <w:color w:val="333333"/>
          <w:sz w:val="24"/>
          <w:szCs w:val="24"/>
        </w:rPr>
        <w:br/>
      </w:r>
    </w:p>
    <w:p w14:paraId="03A4C3E3" w14:textId="77777777" w:rsidR="0047738C" w:rsidRPr="0047738C" w:rsidRDefault="0047738C" w:rsidP="0047738C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CPU: 8+ cores (16 is preferred)</w:t>
      </w:r>
    </w:p>
    <w:p w14:paraId="62FB9382" w14:textId="77777777" w:rsidR="0047738C" w:rsidRPr="0047738C" w:rsidRDefault="0047738C" w:rsidP="0047738C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Memory: 8+ GB</w:t>
      </w:r>
    </w:p>
    <w:p w14:paraId="6856DD55" w14:textId="77777777" w:rsidR="0047738C" w:rsidRPr="0047738C" w:rsidRDefault="0047738C" w:rsidP="0047738C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color w:val="333333"/>
          <w:sz w:val="24"/>
          <w:szCs w:val="24"/>
        </w:rPr>
        <w:t>Disk: 6 disks, each 1TB disks (could be spinning or SSD)</w:t>
      </w:r>
    </w:p>
    <w:p w14:paraId="6775F06D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32956AAD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</w:p>
    <w:p w14:paraId="292A49F6" w14:textId="77777777" w:rsidR="0047738C" w:rsidRPr="0047738C" w:rsidRDefault="0047738C" w:rsidP="0047738C">
      <w:pPr>
        <w:shd w:val="clear" w:color="auto" w:fill="FFFFFF"/>
        <w:spacing w:after="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bold" w:eastAsia="Times New Roman" w:hAnsi="NeuePlakText-bold" w:cs="Times New Roman"/>
          <w:i/>
          <w:iCs/>
          <w:color w:val="333333"/>
          <w:sz w:val="24"/>
          <w:szCs w:val="24"/>
        </w:rPr>
        <w:t>6) NiFi Clusters Scale Linearly</w:t>
      </w:r>
    </w:p>
    <w:p w14:paraId="56643769" w14:textId="3BD3E40F" w:rsidR="0047738C" w:rsidRPr="0047738C" w:rsidRDefault="0047738C" w:rsidP="0047738C">
      <w:pPr>
        <w:shd w:val="clear" w:color="auto" w:fill="FFFFFF"/>
        <w:spacing w:after="150" w:line="240" w:lineRule="auto"/>
        <w:rPr>
          <w:rFonts w:ascii="NeuePlakText-Regular" w:eastAsia="Times New Roman" w:hAnsi="NeuePlakText-Regular" w:cs="Times New Roman"/>
          <w:color w:val="333333"/>
          <w:sz w:val="24"/>
          <w:szCs w:val="24"/>
        </w:rPr>
      </w:pPr>
      <w:r w:rsidRPr="0047738C">
        <w:rPr>
          <w:rFonts w:ascii="NeuePlakText-Regular" w:eastAsia="Times New Roman" w:hAnsi="NeuePlakText-Regular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63469117" wp14:editId="6D4CF159">
            <wp:extent cx="3808095" cy="17246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F117" w14:textId="77777777" w:rsidR="0047738C" w:rsidRDefault="0047738C"/>
    <w:sectPr w:rsidR="0047738C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PlakText-bold">
    <w:altName w:val="Cambria"/>
    <w:panose1 w:val="00000000000000000000"/>
    <w:charset w:val="00"/>
    <w:family w:val="roman"/>
    <w:notTrueType/>
    <w:pitch w:val="default"/>
  </w:font>
  <w:font w:name="NeuePlakTex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449D"/>
    <w:multiLevelType w:val="multilevel"/>
    <w:tmpl w:val="E9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9522E"/>
    <w:multiLevelType w:val="multilevel"/>
    <w:tmpl w:val="EF1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94342"/>
    <w:multiLevelType w:val="multilevel"/>
    <w:tmpl w:val="18F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8C"/>
    <w:rsid w:val="003B278B"/>
    <w:rsid w:val="0047738C"/>
    <w:rsid w:val="00AA4B5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645"/>
  <w15:chartTrackingRefBased/>
  <w15:docId w15:val="{3EA08C6C-9C80-44F1-A3BD-CE919C6D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38C"/>
    <w:rPr>
      <w:b/>
      <w:bCs/>
    </w:rPr>
  </w:style>
  <w:style w:type="character" w:styleId="Emphasis">
    <w:name w:val="Emphasis"/>
    <w:basedOn w:val="DefaultParagraphFont"/>
    <w:uiPriority w:val="20"/>
    <w:qFormat/>
    <w:rsid w:val="004773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886">
          <w:marLeft w:val="0"/>
          <w:marRight w:val="0"/>
          <w:marTop w:val="10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7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errevillard.com/2018/04/09/automate-workflow-deployment-in-apache-nifi-with-the-nifi-regist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2</cp:revision>
  <dcterms:created xsi:type="dcterms:W3CDTF">2019-11-05T06:32:00Z</dcterms:created>
  <dcterms:modified xsi:type="dcterms:W3CDTF">2019-11-06T08:14:00Z</dcterms:modified>
</cp:coreProperties>
</file>