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813"/>
        <w:tblW w:w="990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438"/>
        <w:gridCol w:w="6466"/>
      </w:tblGrid>
      <w:tr w:rsidR="0067514A" w:rsidRPr="0067514A" w14:paraId="4F05A5A5" w14:textId="77777777" w:rsidTr="0067514A">
        <w:trPr>
          <w:trHeight w:val="192"/>
          <w:tblCellSpacing w:w="15" w:type="dxa"/>
        </w:trPr>
        <w:tc>
          <w:tcPr>
            <w:tcW w:w="274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1C5064A" w14:textId="77777777" w:rsidR="0067514A" w:rsidRPr="0067514A" w:rsidRDefault="0067514A" w:rsidP="0067514A">
            <w:pPr>
              <w:spacing w:after="0" w:line="240" w:lineRule="auto"/>
              <w:rPr>
                <w:rFonts w:ascii="inherit" w:eastAsia="Times New Roman" w:hAnsi="inherit" w:cs="Times New Roman"/>
                <w:spacing w:val="-2"/>
                <w:sz w:val="16"/>
                <w:szCs w:val="16"/>
              </w:rPr>
            </w:pPr>
            <w:r w:rsidRPr="0067514A">
              <w:rPr>
                <w:rFonts w:ascii="inherit" w:eastAsia="Times New Roman" w:hAnsi="inherit" w:cs="Times New Roman"/>
                <w:b/>
                <w:bCs/>
                <w:spacing w:val="-1"/>
                <w:sz w:val="16"/>
                <w:szCs w:val="16"/>
              </w:rPr>
              <w:t>Property</w:t>
            </w:r>
          </w:p>
        </w:tc>
        <w:tc>
          <w:tcPr>
            <w:tcW w:w="707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8F0026" w14:textId="77777777" w:rsidR="0067514A" w:rsidRPr="0067514A" w:rsidRDefault="0067514A" w:rsidP="0067514A">
            <w:pPr>
              <w:spacing w:after="0" w:line="240" w:lineRule="auto"/>
              <w:rPr>
                <w:rFonts w:ascii="inherit" w:eastAsia="Times New Roman" w:hAnsi="inherit" w:cs="Times New Roman"/>
                <w:spacing w:val="-2"/>
                <w:sz w:val="16"/>
                <w:szCs w:val="16"/>
              </w:rPr>
            </w:pPr>
            <w:r w:rsidRPr="0067514A">
              <w:rPr>
                <w:rFonts w:ascii="inherit" w:eastAsia="Times New Roman" w:hAnsi="inherit" w:cs="Times New Roman"/>
                <w:b/>
                <w:bCs/>
                <w:spacing w:val="-1"/>
                <w:sz w:val="16"/>
                <w:szCs w:val="16"/>
              </w:rPr>
              <w:t>Description</w:t>
            </w:r>
          </w:p>
        </w:tc>
      </w:tr>
      <w:tr w:rsidR="0067514A" w:rsidRPr="0067514A" w14:paraId="3088FA82" w14:textId="77777777" w:rsidTr="0067514A">
        <w:trPr>
          <w:trHeight w:val="420"/>
          <w:tblCellSpacing w:w="15" w:type="dxa"/>
        </w:trPr>
        <w:tc>
          <w:tcPr>
            <w:tcW w:w="274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B094D1" w14:textId="77777777" w:rsidR="0067514A" w:rsidRPr="0067514A" w:rsidRDefault="0067514A" w:rsidP="0067514A">
            <w:pPr>
              <w:spacing w:after="0" w:line="240" w:lineRule="auto"/>
              <w:rPr>
                <w:rFonts w:ascii="inherit" w:eastAsia="Times New Roman" w:hAnsi="inherit" w:cs="Times New Roman"/>
                <w:spacing w:val="-2"/>
                <w:sz w:val="16"/>
                <w:szCs w:val="16"/>
              </w:rPr>
            </w:pPr>
            <w:r w:rsidRPr="0067514A">
              <w:rPr>
                <w:rFonts w:ascii="Courier New" w:eastAsia="Times New Roman" w:hAnsi="Courier New" w:cs="Courier New"/>
                <w:sz w:val="16"/>
                <w:szCs w:val="16"/>
              </w:rPr>
              <w:t>java</w:t>
            </w:r>
          </w:p>
        </w:tc>
        <w:tc>
          <w:tcPr>
            <w:tcW w:w="707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F49E2A7" w14:textId="77777777" w:rsidR="0067514A" w:rsidRPr="0067514A" w:rsidRDefault="0067514A" w:rsidP="0067514A">
            <w:pPr>
              <w:spacing w:after="0" w:line="240" w:lineRule="auto"/>
              <w:rPr>
                <w:rFonts w:ascii="inherit" w:eastAsia="Times New Roman" w:hAnsi="inherit" w:cs="Times New Roman"/>
                <w:spacing w:val="-2"/>
                <w:sz w:val="16"/>
                <w:szCs w:val="16"/>
              </w:rPr>
            </w:pPr>
            <w:r w:rsidRPr="0067514A">
              <w:rPr>
                <w:rFonts w:ascii="inherit" w:eastAsia="Times New Roman" w:hAnsi="inherit" w:cs="Times New Roman"/>
                <w:spacing w:val="-2"/>
                <w:sz w:val="16"/>
                <w:szCs w:val="16"/>
              </w:rPr>
              <w:t>Specifies the fully qualified java command to run. By default, it is simply </w:t>
            </w:r>
            <w:r w:rsidRPr="0067514A">
              <w:rPr>
                <w:rFonts w:ascii="Courier New" w:eastAsia="Times New Roman" w:hAnsi="Courier New" w:cs="Courier New"/>
                <w:sz w:val="16"/>
                <w:szCs w:val="16"/>
                <w:shd w:val="clear" w:color="auto" w:fill="F7F7F8"/>
              </w:rPr>
              <w:t>java</w:t>
            </w:r>
            <w:r w:rsidRPr="0067514A">
              <w:rPr>
                <w:rFonts w:ascii="inherit" w:eastAsia="Times New Roman" w:hAnsi="inherit" w:cs="Times New Roman"/>
                <w:spacing w:val="-2"/>
                <w:sz w:val="16"/>
                <w:szCs w:val="16"/>
              </w:rPr>
              <w:t> but could be changed to an absolute path or a reference an environment variable, such as </w:t>
            </w:r>
            <w:r w:rsidRPr="0067514A">
              <w:rPr>
                <w:rFonts w:ascii="Courier New" w:eastAsia="Times New Roman" w:hAnsi="Courier New" w:cs="Courier New"/>
                <w:sz w:val="16"/>
                <w:szCs w:val="16"/>
                <w:shd w:val="clear" w:color="auto" w:fill="F7F7F8"/>
              </w:rPr>
              <w:t>$JAVA_HOME/bin/java</w:t>
            </w:r>
          </w:p>
        </w:tc>
      </w:tr>
      <w:tr w:rsidR="0067514A" w:rsidRPr="0067514A" w14:paraId="5DB5B023" w14:textId="77777777" w:rsidTr="0067514A">
        <w:trPr>
          <w:trHeight w:val="408"/>
          <w:tblCellSpacing w:w="15" w:type="dxa"/>
        </w:trPr>
        <w:tc>
          <w:tcPr>
            <w:tcW w:w="274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FF1EE7" w14:textId="77777777" w:rsidR="0067514A" w:rsidRPr="0067514A" w:rsidRDefault="0067514A" w:rsidP="0067514A">
            <w:pPr>
              <w:spacing w:after="0" w:line="240" w:lineRule="auto"/>
              <w:rPr>
                <w:rFonts w:ascii="inherit" w:eastAsia="Times New Roman" w:hAnsi="inherit" w:cs="Times New Roman"/>
                <w:spacing w:val="-2"/>
                <w:sz w:val="16"/>
                <w:szCs w:val="16"/>
              </w:rPr>
            </w:pPr>
            <w:r w:rsidRPr="0067514A">
              <w:rPr>
                <w:rFonts w:ascii="Courier New" w:eastAsia="Times New Roman" w:hAnsi="Courier New" w:cs="Courier New"/>
                <w:sz w:val="16"/>
                <w:szCs w:val="16"/>
              </w:rPr>
              <w:t>run.as</w:t>
            </w:r>
          </w:p>
        </w:tc>
        <w:tc>
          <w:tcPr>
            <w:tcW w:w="707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5136F3" w14:textId="77777777" w:rsidR="0067514A" w:rsidRPr="0067514A" w:rsidRDefault="0067514A" w:rsidP="0067514A">
            <w:pPr>
              <w:spacing w:after="0" w:line="240" w:lineRule="auto"/>
              <w:rPr>
                <w:rFonts w:ascii="inherit" w:eastAsia="Times New Roman" w:hAnsi="inherit" w:cs="Times New Roman"/>
                <w:spacing w:val="-2"/>
                <w:sz w:val="16"/>
                <w:szCs w:val="16"/>
              </w:rPr>
            </w:pPr>
            <w:r w:rsidRPr="0067514A">
              <w:rPr>
                <w:rFonts w:ascii="inherit" w:eastAsia="Times New Roman" w:hAnsi="inherit" w:cs="Times New Roman"/>
                <w:spacing w:val="-2"/>
                <w:sz w:val="16"/>
                <w:szCs w:val="16"/>
              </w:rPr>
              <w:t>The username to run NiFi as. For instance, if NiFi should be run as the </w:t>
            </w:r>
            <w:proofErr w:type="spellStart"/>
            <w:r w:rsidRPr="0067514A">
              <w:rPr>
                <w:rFonts w:ascii="Courier New" w:eastAsia="Times New Roman" w:hAnsi="Courier New" w:cs="Courier New"/>
                <w:sz w:val="16"/>
                <w:szCs w:val="16"/>
                <w:shd w:val="clear" w:color="auto" w:fill="F7F7F8"/>
              </w:rPr>
              <w:t>nifi</w:t>
            </w:r>
            <w:proofErr w:type="spellEnd"/>
            <w:r w:rsidRPr="0067514A">
              <w:rPr>
                <w:rFonts w:ascii="inherit" w:eastAsia="Times New Roman" w:hAnsi="inherit" w:cs="Times New Roman"/>
                <w:spacing w:val="-2"/>
                <w:sz w:val="16"/>
                <w:szCs w:val="16"/>
              </w:rPr>
              <w:t> user, setting this value to </w:t>
            </w:r>
            <w:proofErr w:type="spellStart"/>
            <w:r w:rsidRPr="0067514A">
              <w:rPr>
                <w:rFonts w:ascii="Courier New" w:eastAsia="Times New Roman" w:hAnsi="Courier New" w:cs="Courier New"/>
                <w:sz w:val="16"/>
                <w:szCs w:val="16"/>
                <w:shd w:val="clear" w:color="auto" w:fill="F7F7F8"/>
              </w:rPr>
              <w:t>nifi</w:t>
            </w:r>
            <w:proofErr w:type="spellEnd"/>
            <w:r w:rsidRPr="0067514A">
              <w:rPr>
                <w:rFonts w:ascii="inherit" w:eastAsia="Times New Roman" w:hAnsi="inherit" w:cs="Times New Roman"/>
                <w:spacing w:val="-2"/>
                <w:sz w:val="16"/>
                <w:szCs w:val="16"/>
              </w:rPr>
              <w:t> will cause the NiFi Process to be run as the </w:t>
            </w:r>
            <w:proofErr w:type="spellStart"/>
            <w:r w:rsidRPr="0067514A">
              <w:rPr>
                <w:rFonts w:ascii="Courier New" w:eastAsia="Times New Roman" w:hAnsi="Courier New" w:cs="Courier New"/>
                <w:sz w:val="16"/>
                <w:szCs w:val="16"/>
                <w:shd w:val="clear" w:color="auto" w:fill="F7F7F8"/>
              </w:rPr>
              <w:t>nifi</w:t>
            </w:r>
            <w:proofErr w:type="spellEnd"/>
            <w:r w:rsidRPr="0067514A">
              <w:rPr>
                <w:rFonts w:ascii="inherit" w:eastAsia="Times New Roman" w:hAnsi="inherit" w:cs="Times New Roman"/>
                <w:spacing w:val="-2"/>
                <w:sz w:val="16"/>
                <w:szCs w:val="16"/>
              </w:rPr>
              <w:t xml:space="preserve"> user. This property is ignored on Windows. For Linux, the specified user may require </w:t>
            </w:r>
            <w:proofErr w:type="spellStart"/>
            <w:r w:rsidRPr="0067514A">
              <w:rPr>
                <w:rFonts w:ascii="inherit" w:eastAsia="Times New Roman" w:hAnsi="inherit" w:cs="Times New Roman"/>
                <w:spacing w:val="-2"/>
                <w:sz w:val="16"/>
                <w:szCs w:val="16"/>
              </w:rPr>
              <w:t>sudo</w:t>
            </w:r>
            <w:proofErr w:type="spellEnd"/>
            <w:r w:rsidRPr="0067514A">
              <w:rPr>
                <w:rFonts w:ascii="inherit" w:eastAsia="Times New Roman" w:hAnsi="inherit" w:cs="Times New Roman"/>
                <w:spacing w:val="-2"/>
                <w:sz w:val="16"/>
                <w:szCs w:val="16"/>
              </w:rPr>
              <w:t xml:space="preserve"> permissions.</w:t>
            </w:r>
          </w:p>
        </w:tc>
      </w:tr>
      <w:tr w:rsidR="0067514A" w:rsidRPr="0067514A" w14:paraId="75B9973C" w14:textId="77777777" w:rsidTr="0067514A">
        <w:trPr>
          <w:trHeight w:val="216"/>
          <w:tblCellSpacing w:w="15" w:type="dxa"/>
        </w:trPr>
        <w:tc>
          <w:tcPr>
            <w:tcW w:w="274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E3320D6" w14:textId="77777777" w:rsidR="0067514A" w:rsidRPr="0067514A" w:rsidRDefault="0067514A" w:rsidP="0067514A">
            <w:pPr>
              <w:spacing w:after="0" w:line="240" w:lineRule="auto"/>
              <w:rPr>
                <w:rFonts w:ascii="inherit" w:eastAsia="Times New Roman" w:hAnsi="inherit" w:cs="Times New Roman"/>
                <w:spacing w:val="-2"/>
                <w:sz w:val="16"/>
                <w:szCs w:val="16"/>
              </w:rPr>
            </w:pPr>
            <w:proofErr w:type="spellStart"/>
            <w:r w:rsidRPr="0067514A">
              <w:rPr>
                <w:rFonts w:ascii="Courier New" w:eastAsia="Times New Roman" w:hAnsi="Courier New" w:cs="Courier New"/>
                <w:sz w:val="16"/>
                <w:szCs w:val="16"/>
              </w:rPr>
              <w:t>lib.dir</w:t>
            </w:r>
            <w:proofErr w:type="spellEnd"/>
          </w:p>
        </w:tc>
        <w:tc>
          <w:tcPr>
            <w:tcW w:w="707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A7F6E5C" w14:textId="77777777" w:rsidR="0067514A" w:rsidRPr="0067514A" w:rsidRDefault="0067514A" w:rsidP="0067514A">
            <w:pPr>
              <w:spacing w:after="0" w:line="240" w:lineRule="auto"/>
              <w:rPr>
                <w:rFonts w:ascii="inherit" w:eastAsia="Times New Roman" w:hAnsi="inherit" w:cs="Times New Roman"/>
                <w:spacing w:val="-2"/>
                <w:sz w:val="16"/>
                <w:szCs w:val="16"/>
              </w:rPr>
            </w:pPr>
            <w:r w:rsidRPr="0067514A">
              <w:rPr>
                <w:rFonts w:ascii="inherit" w:eastAsia="Times New Roman" w:hAnsi="inherit" w:cs="Times New Roman"/>
                <w:spacing w:val="-2"/>
                <w:sz w:val="16"/>
                <w:szCs w:val="16"/>
              </w:rPr>
              <w:t>The </w:t>
            </w:r>
            <w:r w:rsidRPr="0067514A">
              <w:rPr>
                <w:rFonts w:ascii="inherit" w:eastAsia="Times New Roman" w:hAnsi="inherit" w:cs="Times New Roman"/>
                <w:i/>
                <w:iCs/>
                <w:spacing w:val="-2"/>
                <w:sz w:val="16"/>
                <w:szCs w:val="16"/>
              </w:rPr>
              <w:t>lib</w:t>
            </w:r>
            <w:r w:rsidRPr="0067514A">
              <w:rPr>
                <w:rFonts w:ascii="inherit" w:eastAsia="Times New Roman" w:hAnsi="inherit" w:cs="Times New Roman"/>
                <w:spacing w:val="-2"/>
                <w:sz w:val="16"/>
                <w:szCs w:val="16"/>
              </w:rPr>
              <w:t xml:space="preserve"> directory to use for NiFi. By default, this is set </w:t>
            </w:r>
            <w:proofErr w:type="gramStart"/>
            <w:r w:rsidRPr="0067514A">
              <w:rPr>
                <w:rFonts w:ascii="inherit" w:eastAsia="Times New Roman" w:hAnsi="inherit" w:cs="Times New Roman"/>
                <w:spacing w:val="-2"/>
                <w:sz w:val="16"/>
                <w:szCs w:val="16"/>
              </w:rPr>
              <w:t>to </w:t>
            </w:r>
            <w:r w:rsidRPr="0067514A">
              <w:rPr>
                <w:rFonts w:ascii="Courier New" w:eastAsia="Times New Roman" w:hAnsi="Courier New" w:cs="Courier New"/>
                <w:sz w:val="16"/>
                <w:szCs w:val="16"/>
                <w:shd w:val="clear" w:color="auto" w:fill="F7F7F8"/>
              </w:rPr>
              <w:t>.</w:t>
            </w:r>
            <w:proofErr w:type="gramEnd"/>
            <w:r w:rsidRPr="0067514A">
              <w:rPr>
                <w:rFonts w:ascii="Courier New" w:eastAsia="Times New Roman" w:hAnsi="Courier New" w:cs="Courier New"/>
                <w:sz w:val="16"/>
                <w:szCs w:val="16"/>
                <w:shd w:val="clear" w:color="auto" w:fill="F7F7F8"/>
              </w:rPr>
              <w:t>/lib</w:t>
            </w:r>
          </w:p>
        </w:tc>
      </w:tr>
      <w:tr w:rsidR="0067514A" w:rsidRPr="0067514A" w14:paraId="3FB8FC61" w14:textId="77777777" w:rsidTr="0067514A">
        <w:trPr>
          <w:trHeight w:val="216"/>
          <w:tblCellSpacing w:w="15" w:type="dxa"/>
        </w:trPr>
        <w:tc>
          <w:tcPr>
            <w:tcW w:w="274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EBD480" w14:textId="77777777" w:rsidR="0067514A" w:rsidRPr="0067514A" w:rsidRDefault="0067514A" w:rsidP="0067514A">
            <w:pPr>
              <w:spacing w:after="0" w:line="240" w:lineRule="auto"/>
              <w:rPr>
                <w:rFonts w:ascii="inherit" w:eastAsia="Times New Roman" w:hAnsi="inherit" w:cs="Times New Roman"/>
                <w:spacing w:val="-2"/>
                <w:sz w:val="16"/>
                <w:szCs w:val="16"/>
              </w:rPr>
            </w:pPr>
            <w:proofErr w:type="spellStart"/>
            <w:r w:rsidRPr="0067514A">
              <w:rPr>
                <w:rFonts w:ascii="Courier New" w:eastAsia="Times New Roman" w:hAnsi="Courier New" w:cs="Courier New"/>
                <w:sz w:val="16"/>
                <w:szCs w:val="16"/>
              </w:rPr>
              <w:t>conf.dir</w:t>
            </w:r>
            <w:proofErr w:type="spellEnd"/>
          </w:p>
        </w:tc>
        <w:tc>
          <w:tcPr>
            <w:tcW w:w="707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1442E81" w14:textId="77777777" w:rsidR="0067514A" w:rsidRPr="0067514A" w:rsidRDefault="0067514A" w:rsidP="0067514A">
            <w:pPr>
              <w:spacing w:after="0" w:line="240" w:lineRule="auto"/>
              <w:rPr>
                <w:rFonts w:ascii="inherit" w:eastAsia="Times New Roman" w:hAnsi="inherit" w:cs="Times New Roman"/>
                <w:spacing w:val="-2"/>
                <w:sz w:val="16"/>
                <w:szCs w:val="16"/>
              </w:rPr>
            </w:pPr>
            <w:r w:rsidRPr="0067514A">
              <w:rPr>
                <w:rFonts w:ascii="inherit" w:eastAsia="Times New Roman" w:hAnsi="inherit" w:cs="Times New Roman"/>
                <w:spacing w:val="-2"/>
                <w:sz w:val="16"/>
                <w:szCs w:val="16"/>
              </w:rPr>
              <w:t>The </w:t>
            </w:r>
            <w:r w:rsidRPr="0067514A">
              <w:rPr>
                <w:rFonts w:ascii="inherit" w:eastAsia="Times New Roman" w:hAnsi="inherit" w:cs="Times New Roman"/>
                <w:i/>
                <w:iCs/>
                <w:spacing w:val="-2"/>
                <w:sz w:val="16"/>
                <w:szCs w:val="16"/>
              </w:rPr>
              <w:t>conf</w:t>
            </w:r>
            <w:r w:rsidRPr="0067514A">
              <w:rPr>
                <w:rFonts w:ascii="inherit" w:eastAsia="Times New Roman" w:hAnsi="inherit" w:cs="Times New Roman"/>
                <w:spacing w:val="-2"/>
                <w:sz w:val="16"/>
                <w:szCs w:val="16"/>
              </w:rPr>
              <w:t xml:space="preserve"> directory to use for NiFi. By default, this is set </w:t>
            </w:r>
            <w:proofErr w:type="gramStart"/>
            <w:r w:rsidRPr="0067514A">
              <w:rPr>
                <w:rFonts w:ascii="inherit" w:eastAsia="Times New Roman" w:hAnsi="inherit" w:cs="Times New Roman"/>
                <w:spacing w:val="-2"/>
                <w:sz w:val="16"/>
                <w:szCs w:val="16"/>
              </w:rPr>
              <w:t>to </w:t>
            </w:r>
            <w:r w:rsidRPr="0067514A">
              <w:rPr>
                <w:rFonts w:ascii="Courier New" w:eastAsia="Times New Roman" w:hAnsi="Courier New" w:cs="Courier New"/>
                <w:sz w:val="16"/>
                <w:szCs w:val="16"/>
                <w:shd w:val="clear" w:color="auto" w:fill="F7F7F8"/>
              </w:rPr>
              <w:t>.</w:t>
            </w:r>
            <w:proofErr w:type="gramEnd"/>
            <w:r w:rsidRPr="0067514A">
              <w:rPr>
                <w:rFonts w:ascii="Courier New" w:eastAsia="Times New Roman" w:hAnsi="Courier New" w:cs="Courier New"/>
                <w:sz w:val="16"/>
                <w:szCs w:val="16"/>
                <w:shd w:val="clear" w:color="auto" w:fill="F7F7F8"/>
              </w:rPr>
              <w:t>/conf</w:t>
            </w:r>
          </w:p>
        </w:tc>
      </w:tr>
      <w:tr w:rsidR="0067514A" w:rsidRPr="0067514A" w14:paraId="0A055332" w14:textId="77777777" w:rsidTr="0067514A">
        <w:trPr>
          <w:trHeight w:val="408"/>
          <w:tblCellSpacing w:w="15" w:type="dxa"/>
        </w:trPr>
        <w:tc>
          <w:tcPr>
            <w:tcW w:w="274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6B6F632" w14:textId="77777777" w:rsidR="0067514A" w:rsidRPr="0067514A" w:rsidRDefault="0067514A" w:rsidP="0067514A">
            <w:pPr>
              <w:spacing w:after="0" w:line="240" w:lineRule="auto"/>
              <w:rPr>
                <w:rFonts w:ascii="inherit" w:eastAsia="Times New Roman" w:hAnsi="inherit" w:cs="Times New Roman"/>
                <w:spacing w:val="-2"/>
                <w:sz w:val="16"/>
                <w:szCs w:val="16"/>
              </w:rPr>
            </w:pPr>
            <w:proofErr w:type="spellStart"/>
            <w:proofErr w:type="gramStart"/>
            <w:r w:rsidRPr="0067514A">
              <w:rPr>
                <w:rFonts w:ascii="Courier New" w:eastAsia="Times New Roman" w:hAnsi="Courier New" w:cs="Courier New"/>
                <w:sz w:val="16"/>
                <w:szCs w:val="16"/>
              </w:rPr>
              <w:t>graceful.shutdown</w:t>
            </w:r>
            <w:proofErr w:type="gramEnd"/>
            <w:r w:rsidRPr="0067514A">
              <w:rPr>
                <w:rFonts w:ascii="Courier New" w:eastAsia="Times New Roman" w:hAnsi="Courier New" w:cs="Courier New"/>
                <w:sz w:val="16"/>
                <w:szCs w:val="16"/>
              </w:rPr>
              <w:t>.seconds</w:t>
            </w:r>
            <w:proofErr w:type="spellEnd"/>
          </w:p>
        </w:tc>
        <w:tc>
          <w:tcPr>
            <w:tcW w:w="707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40FB7A7" w14:textId="77777777" w:rsidR="0067514A" w:rsidRPr="0067514A" w:rsidRDefault="0067514A" w:rsidP="0067514A">
            <w:pPr>
              <w:spacing w:after="0" w:line="240" w:lineRule="auto"/>
              <w:rPr>
                <w:rFonts w:ascii="inherit" w:eastAsia="Times New Roman" w:hAnsi="inherit" w:cs="Times New Roman"/>
                <w:spacing w:val="-2"/>
                <w:sz w:val="16"/>
                <w:szCs w:val="16"/>
              </w:rPr>
            </w:pPr>
            <w:r w:rsidRPr="0067514A">
              <w:rPr>
                <w:rFonts w:ascii="inherit" w:eastAsia="Times New Roman" w:hAnsi="inherit" w:cs="Times New Roman"/>
                <w:spacing w:val="-2"/>
                <w:sz w:val="16"/>
                <w:szCs w:val="16"/>
              </w:rPr>
              <w:t xml:space="preserve">When NiFi is instructed to </w:t>
            </w:r>
            <w:proofErr w:type="spellStart"/>
            <w:r w:rsidRPr="0067514A">
              <w:rPr>
                <w:rFonts w:ascii="inherit" w:eastAsia="Times New Roman" w:hAnsi="inherit" w:cs="Times New Roman"/>
                <w:spacing w:val="-2"/>
                <w:sz w:val="16"/>
                <w:szCs w:val="16"/>
              </w:rPr>
              <w:t>shutdown</w:t>
            </w:r>
            <w:proofErr w:type="spellEnd"/>
            <w:r w:rsidRPr="0067514A">
              <w:rPr>
                <w:rFonts w:ascii="inherit" w:eastAsia="Times New Roman" w:hAnsi="inherit" w:cs="Times New Roman"/>
                <w:spacing w:val="-2"/>
                <w:sz w:val="16"/>
                <w:szCs w:val="16"/>
              </w:rPr>
              <w:t>, the Bootstrap will wait this number of seconds for the process to shutdown cleanly. At this amount of time, if the service is still running, the Bootstrap will </w:t>
            </w:r>
            <w:r w:rsidRPr="0067514A">
              <w:rPr>
                <w:rFonts w:ascii="Courier New" w:eastAsia="Times New Roman" w:hAnsi="Courier New" w:cs="Courier New"/>
                <w:sz w:val="16"/>
                <w:szCs w:val="16"/>
              </w:rPr>
              <w:t>kill</w:t>
            </w:r>
            <w:r w:rsidRPr="0067514A">
              <w:rPr>
                <w:rFonts w:ascii="inherit" w:eastAsia="Times New Roman" w:hAnsi="inherit" w:cs="Times New Roman"/>
                <w:spacing w:val="-2"/>
                <w:sz w:val="16"/>
                <w:szCs w:val="16"/>
              </w:rPr>
              <w:t> the process, or terminate it abruptly.</w:t>
            </w:r>
          </w:p>
        </w:tc>
      </w:tr>
      <w:tr w:rsidR="0067514A" w:rsidRPr="0067514A" w14:paraId="4DD4CEA2" w14:textId="77777777" w:rsidTr="0067514A">
        <w:trPr>
          <w:trHeight w:val="601"/>
          <w:tblCellSpacing w:w="15" w:type="dxa"/>
        </w:trPr>
        <w:tc>
          <w:tcPr>
            <w:tcW w:w="274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554A42" w14:textId="77777777" w:rsidR="0067514A" w:rsidRPr="0067514A" w:rsidRDefault="0067514A" w:rsidP="0067514A">
            <w:pPr>
              <w:spacing w:after="0" w:line="240" w:lineRule="auto"/>
              <w:rPr>
                <w:rFonts w:ascii="inherit" w:eastAsia="Times New Roman" w:hAnsi="inherit" w:cs="Times New Roman"/>
                <w:spacing w:val="-2"/>
                <w:sz w:val="16"/>
                <w:szCs w:val="16"/>
              </w:rPr>
            </w:pPr>
            <w:proofErr w:type="spellStart"/>
            <w:proofErr w:type="gramStart"/>
            <w:r w:rsidRPr="0067514A">
              <w:rPr>
                <w:rFonts w:ascii="Courier New" w:eastAsia="Times New Roman" w:hAnsi="Courier New" w:cs="Courier New"/>
                <w:sz w:val="16"/>
                <w:szCs w:val="16"/>
              </w:rPr>
              <w:t>java.arg.N</w:t>
            </w:r>
            <w:proofErr w:type="spellEnd"/>
            <w:proofErr w:type="gramEnd"/>
          </w:p>
        </w:tc>
        <w:tc>
          <w:tcPr>
            <w:tcW w:w="707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0E7615" w14:textId="77777777" w:rsidR="0067514A" w:rsidRPr="0067514A" w:rsidRDefault="0067514A" w:rsidP="0067514A">
            <w:pPr>
              <w:spacing w:after="0" w:line="240" w:lineRule="auto"/>
              <w:rPr>
                <w:rFonts w:ascii="inherit" w:eastAsia="Times New Roman" w:hAnsi="inherit" w:cs="Times New Roman"/>
                <w:spacing w:val="-2"/>
                <w:sz w:val="16"/>
                <w:szCs w:val="16"/>
              </w:rPr>
            </w:pPr>
            <w:r w:rsidRPr="0067514A">
              <w:rPr>
                <w:rFonts w:ascii="inherit" w:eastAsia="Times New Roman" w:hAnsi="inherit" w:cs="Times New Roman"/>
                <w:spacing w:val="-2"/>
                <w:sz w:val="16"/>
                <w:szCs w:val="16"/>
              </w:rPr>
              <w:t>Any number of JVM arguments can be passed to the NiFi JVM when the process is started. These arguments are defined by adding properties to </w:t>
            </w:r>
            <w:proofErr w:type="spellStart"/>
            <w:r w:rsidRPr="0067514A">
              <w:rPr>
                <w:rFonts w:ascii="inherit" w:eastAsia="Times New Roman" w:hAnsi="inherit" w:cs="Times New Roman"/>
                <w:i/>
                <w:iCs/>
                <w:spacing w:val="-2"/>
                <w:sz w:val="16"/>
                <w:szCs w:val="16"/>
              </w:rPr>
              <w:t>bootstrap.conf</w:t>
            </w:r>
            <w:proofErr w:type="spellEnd"/>
            <w:r w:rsidRPr="0067514A">
              <w:rPr>
                <w:rFonts w:ascii="inherit" w:eastAsia="Times New Roman" w:hAnsi="inherit" w:cs="Times New Roman"/>
                <w:spacing w:val="-2"/>
                <w:sz w:val="16"/>
                <w:szCs w:val="16"/>
              </w:rPr>
              <w:t> that begin with </w:t>
            </w:r>
            <w:proofErr w:type="spellStart"/>
            <w:proofErr w:type="gramStart"/>
            <w:r w:rsidRPr="0067514A">
              <w:rPr>
                <w:rFonts w:ascii="Courier New" w:eastAsia="Times New Roman" w:hAnsi="Courier New" w:cs="Courier New"/>
                <w:sz w:val="16"/>
                <w:szCs w:val="16"/>
                <w:shd w:val="clear" w:color="auto" w:fill="F7F7F8"/>
              </w:rPr>
              <w:t>java.arg</w:t>
            </w:r>
            <w:proofErr w:type="spellEnd"/>
            <w:r w:rsidRPr="0067514A">
              <w:rPr>
                <w:rFonts w:ascii="Courier New" w:eastAsia="Times New Roman" w:hAnsi="Courier New" w:cs="Courier New"/>
                <w:sz w:val="16"/>
                <w:szCs w:val="16"/>
                <w:shd w:val="clear" w:color="auto" w:fill="F7F7F8"/>
              </w:rPr>
              <w:t>.</w:t>
            </w:r>
            <w:r w:rsidRPr="0067514A">
              <w:rPr>
                <w:rFonts w:ascii="inherit" w:eastAsia="Times New Roman" w:hAnsi="inherit" w:cs="Times New Roman"/>
                <w:spacing w:val="-2"/>
                <w:sz w:val="16"/>
                <w:szCs w:val="16"/>
              </w:rPr>
              <w:t>.</w:t>
            </w:r>
            <w:proofErr w:type="gramEnd"/>
            <w:r w:rsidRPr="0067514A">
              <w:rPr>
                <w:rFonts w:ascii="inherit" w:eastAsia="Times New Roman" w:hAnsi="inherit" w:cs="Times New Roman"/>
                <w:spacing w:val="-2"/>
                <w:sz w:val="16"/>
                <w:szCs w:val="16"/>
              </w:rPr>
              <w:t xml:space="preserve"> The rest of the property name is not relevant, other than to differentiate property names, and will be ignored. The default includes properties for minimum and maximum Java Heap size, the garbage collector to use, etc.</w:t>
            </w:r>
          </w:p>
        </w:tc>
      </w:tr>
      <w:tr w:rsidR="0067514A" w:rsidRPr="0067514A" w14:paraId="453D46DF" w14:textId="77777777" w:rsidTr="0067514A">
        <w:trPr>
          <w:trHeight w:val="589"/>
          <w:tblCellSpacing w:w="15" w:type="dxa"/>
        </w:trPr>
        <w:tc>
          <w:tcPr>
            <w:tcW w:w="274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07EFDE" w14:textId="77777777" w:rsidR="0067514A" w:rsidRPr="0067514A" w:rsidRDefault="0067514A" w:rsidP="0067514A">
            <w:pPr>
              <w:spacing w:after="0" w:line="240" w:lineRule="auto"/>
              <w:rPr>
                <w:rFonts w:ascii="inherit" w:eastAsia="Times New Roman" w:hAnsi="inherit" w:cs="Times New Roman"/>
                <w:spacing w:val="-2"/>
                <w:sz w:val="16"/>
                <w:szCs w:val="16"/>
              </w:rPr>
            </w:pPr>
            <w:proofErr w:type="spellStart"/>
            <w:proofErr w:type="gramStart"/>
            <w:r w:rsidRPr="0067514A">
              <w:rPr>
                <w:rFonts w:ascii="Courier New" w:eastAsia="Times New Roman" w:hAnsi="Courier New" w:cs="Courier New"/>
                <w:sz w:val="16"/>
                <w:szCs w:val="16"/>
              </w:rPr>
              <w:t>notification.services</w:t>
            </w:r>
            <w:proofErr w:type="gramEnd"/>
            <w:r w:rsidRPr="0067514A">
              <w:rPr>
                <w:rFonts w:ascii="Courier New" w:eastAsia="Times New Roman" w:hAnsi="Courier New" w:cs="Courier New"/>
                <w:sz w:val="16"/>
                <w:szCs w:val="16"/>
              </w:rPr>
              <w:t>.file</w:t>
            </w:r>
            <w:proofErr w:type="spellEnd"/>
          </w:p>
        </w:tc>
        <w:tc>
          <w:tcPr>
            <w:tcW w:w="707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38A21BD" w14:textId="77777777" w:rsidR="0067514A" w:rsidRPr="0067514A" w:rsidRDefault="0067514A" w:rsidP="0067514A">
            <w:pPr>
              <w:spacing w:after="0" w:line="240" w:lineRule="auto"/>
              <w:rPr>
                <w:rFonts w:ascii="inherit" w:eastAsia="Times New Roman" w:hAnsi="inherit" w:cs="Times New Roman"/>
                <w:spacing w:val="-2"/>
                <w:sz w:val="16"/>
                <w:szCs w:val="16"/>
              </w:rPr>
            </w:pPr>
            <w:r w:rsidRPr="0067514A">
              <w:rPr>
                <w:rFonts w:ascii="inherit" w:eastAsia="Times New Roman" w:hAnsi="inherit" w:cs="Times New Roman"/>
                <w:spacing w:val="-2"/>
                <w:sz w:val="16"/>
                <w:szCs w:val="16"/>
              </w:rPr>
              <w:t>When NiFi is started, or stopped, or when the Bootstrap detects that NiFi has died, the Bootstrap is able to send notifications of these events to interested parties. This is configured by specifying an XML file that defines which notification services can be used. More about this file can be found in the </w:t>
            </w:r>
            <w:hyperlink r:id="rId4" w:anchor="notification_services" w:history="1">
              <w:r w:rsidRPr="0067514A">
                <w:rPr>
                  <w:rFonts w:ascii="inherit" w:eastAsia="Times New Roman" w:hAnsi="inherit" w:cs="Times New Roman"/>
                  <w:color w:val="2156A5"/>
                  <w:spacing w:val="-2"/>
                  <w:sz w:val="16"/>
                  <w:szCs w:val="16"/>
                  <w:u w:val="single"/>
                </w:rPr>
                <w:t>Notification Services</w:t>
              </w:r>
            </w:hyperlink>
            <w:r w:rsidRPr="0067514A">
              <w:rPr>
                <w:rFonts w:ascii="inherit" w:eastAsia="Times New Roman" w:hAnsi="inherit" w:cs="Times New Roman"/>
                <w:spacing w:val="-2"/>
                <w:sz w:val="16"/>
                <w:szCs w:val="16"/>
              </w:rPr>
              <w:t> section.</w:t>
            </w:r>
          </w:p>
        </w:tc>
      </w:tr>
      <w:tr w:rsidR="0067514A" w:rsidRPr="0067514A" w14:paraId="3A25DA96" w14:textId="77777777" w:rsidTr="0067514A">
        <w:trPr>
          <w:trHeight w:val="408"/>
          <w:tblCellSpacing w:w="15" w:type="dxa"/>
        </w:trPr>
        <w:tc>
          <w:tcPr>
            <w:tcW w:w="274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D4B27A" w14:textId="77777777" w:rsidR="0067514A" w:rsidRPr="0067514A" w:rsidRDefault="0067514A" w:rsidP="0067514A">
            <w:pPr>
              <w:spacing w:after="0" w:line="240" w:lineRule="auto"/>
              <w:rPr>
                <w:rFonts w:ascii="inherit" w:eastAsia="Times New Roman" w:hAnsi="inherit" w:cs="Times New Roman"/>
                <w:spacing w:val="-2"/>
                <w:sz w:val="16"/>
                <w:szCs w:val="16"/>
              </w:rPr>
            </w:pPr>
            <w:proofErr w:type="spellStart"/>
            <w:proofErr w:type="gramStart"/>
            <w:r w:rsidRPr="0067514A">
              <w:rPr>
                <w:rFonts w:ascii="Courier New" w:eastAsia="Times New Roman" w:hAnsi="Courier New" w:cs="Courier New"/>
                <w:sz w:val="16"/>
                <w:szCs w:val="16"/>
              </w:rPr>
              <w:t>notification.max.attempts</w:t>
            </w:r>
            <w:proofErr w:type="spellEnd"/>
            <w:proofErr w:type="gramEnd"/>
          </w:p>
        </w:tc>
        <w:tc>
          <w:tcPr>
            <w:tcW w:w="707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CCFC784" w14:textId="77777777" w:rsidR="0067514A" w:rsidRPr="0067514A" w:rsidRDefault="0067514A" w:rsidP="0067514A">
            <w:pPr>
              <w:spacing w:after="0" w:line="240" w:lineRule="auto"/>
              <w:rPr>
                <w:rFonts w:ascii="inherit" w:eastAsia="Times New Roman" w:hAnsi="inherit" w:cs="Times New Roman"/>
                <w:spacing w:val="-2"/>
                <w:sz w:val="16"/>
                <w:szCs w:val="16"/>
              </w:rPr>
            </w:pPr>
            <w:r w:rsidRPr="0067514A">
              <w:rPr>
                <w:rFonts w:ascii="inherit" w:eastAsia="Times New Roman" w:hAnsi="inherit" w:cs="Times New Roman"/>
                <w:spacing w:val="-2"/>
                <w:sz w:val="16"/>
                <w:szCs w:val="16"/>
              </w:rPr>
              <w:t>If a notification service is configured but is unable to perform its function, it will try again up to a maximum number of attempts. This property configures what that maximum number of attempts is. The default value is </w:t>
            </w:r>
            <w:r w:rsidRPr="0067514A">
              <w:rPr>
                <w:rFonts w:ascii="Courier New" w:eastAsia="Times New Roman" w:hAnsi="Courier New" w:cs="Courier New"/>
                <w:sz w:val="16"/>
                <w:szCs w:val="16"/>
              </w:rPr>
              <w:t>5</w:t>
            </w:r>
            <w:r w:rsidRPr="0067514A">
              <w:rPr>
                <w:rFonts w:ascii="inherit" w:eastAsia="Times New Roman" w:hAnsi="inherit" w:cs="Times New Roman"/>
                <w:spacing w:val="-2"/>
                <w:sz w:val="16"/>
                <w:szCs w:val="16"/>
              </w:rPr>
              <w:t>.</w:t>
            </w:r>
          </w:p>
        </w:tc>
      </w:tr>
      <w:tr w:rsidR="0067514A" w:rsidRPr="0067514A" w14:paraId="27CA524B" w14:textId="77777777" w:rsidTr="0067514A">
        <w:trPr>
          <w:trHeight w:val="601"/>
          <w:tblCellSpacing w:w="15" w:type="dxa"/>
        </w:trPr>
        <w:tc>
          <w:tcPr>
            <w:tcW w:w="274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93F78D8" w14:textId="77777777" w:rsidR="0067514A" w:rsidRPr="0067514A" w:rsidRDefault="0067514A" w:rsidP="0067514A">
            <w:pPr>
              <w:spacing w:after="0" w:line="240" w:lineRule="auto"/>
              <w:rPr>
                <w:rFonts w:ascii="inherit" w:eastAsia="Times New Roman" w:hAnsi="inherit" w:cs="Times New Roman"/>
                <w:spacing w:val="-2"/>
                <w:sz w:val="16"/>
                <w:szCs w:val="16"/>
              </w:rPr>
            </w:pPr>
            <w:proofErr w:type="spellStart"/>
            <w:proofErr w:type="gramStart"/>
            <w:r w:rsidRPr="0067514A">
              <w:rPr>
                <w:rFonts w:ascii="Courier New" w:eastAsia="Times New Roman" w:hAnsi="Courier New" w:cs="Courier New"/>
                <w:sz w:val="16"/>
                <w:szCs w:val="16"/>
              </w:rPr>
              <w:t>nifi.start</w:t>
            </w:r>
            <w:proofErr w:type="gramEnd"/>
            <w:r w:rsidRPr="0067514A">
              <w:rPr>
                <w:rFonts w:ascii="Courier New" w:eastAsia="Times New Roman" w:hAnsi="Courier New" w:cs="Courier New"/>
                <w:sz w:val="16"/>
                <w:szCs w:val="16"/>
              </w:rPr>
              <w:t>.notification.services</w:t>
            </w:r>
            <w:proofErr w:type="spellEnd"/>
          </w:p>
        </w:tc>
        <w:tc>
          <w:tcPr>
            <w:tcW w:w="707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0BD3D4" w14:textId="77777777" w:rsidR="0067514A" w:rsidRPr="0067514A" w:rsidRDefault="0067514A" w:rsidP="0067514A">
            <w:pPr>
              <w:spacing w:after="0" w:line="240" w:lineRule="auto"/>
              <w:rPr>
                <w:rFonts w:ascii="inherit" w:eastAsia="Times New Roman" w:hAnsi="inherit" w:cs="Times New Roman"/>
                <w:spacing w:val="-2"/>
                <w:sz w:val="16"/>
                <w:szCs w:val="16"/>
              </w:rPr>
            </w:pPr>
            <w:r w:rsidRPr="0067514A">
              <w:rPr>
                <w:rFonts w:ascii="inherit" w:eastAsia="Times New Roman" w:hAnsi="inherit" w:cs="Times New Roman"/>
                <w:spacing w:val="-2"/>
                <w:sz w:val="16"/>
                <w:szCs w:val="16"/>
              </w:rPr>
              <w:t>This property is a comma-separated list of Notification Service identifiers that correspond to the Notification Services defined in the </w:t>
            </w:r>
            <w:proofErr w:type="spellStart"/>
            <w:proofErr w:type="gramStart"/>
            <w:r w:rsidRPr="0067514A">
              <w:rPr>
                <w:rFonts w:ascii="Courier New" w:eastAsia="Times New Roman" w:hAnsi="Courier New" w:cs="Courier New"/>
                <w:sz w:val="16"/>
                <w:szCs w:val="16"/>
              </w:rPr>
              <w:t>notification.services</w:t>
            </w:r>
            <w:proofErr w:type="gramEnd"/>
            <w:r w:rsidRPr="0067514A">
              <w:rPr>
                <w:rFonts w:ascii="Courier New" w:eastAsia="Times New Roman" w:hAnsi="Courier New" w:cs="Courier New"/>
                <w:sz w:val="16"/>
                <w:szCs w:val="16"/>
              </w:rPr>
              <w:t>.file</w:t>
            </w:r>
            <w:proofErr w:type="spellEnd"/>
            <w:r w:rsidRPr="0067514A">
              <w:rPr>
                <w:rFonts w:ascii="inherit" w:eastAsia="Times New Roman" w:hAnsi="inherit" w:cs="Times New Roman"/>
                <w:spacing w:val="-2"/>
                <w:sz w:val="16"/>
                <w:szCs w:val="16"/>
              </w:rPr>
              <w:t> property. The services with the specified identifiers will be used to notify their configured recipients whenever NiFi is started.</w:t>
            </w:r>
          </w:p>
        </w:tc>
      </w:tr>
      <w:tr w:rsidR="0067514A" w:rsidRPr="0067514A" w14:paraId="0CF71C6E" w14:textId="77777777" w:rsidTr="0067514A">
        <w:trPr>
          <w:trHeight w:val="601"/>
          <w:tblCellSpacing w:w="15" w:type="dxa"/>
        </w:trPr>
        <w:tc>
          <w:tcPr>
            <w:tcW w:w="274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C3DED7" w14:textId="77777777" w:rsidR="0067514A" w:rsidRPr="0067514A" w:rsidRDefault="0067514A" w:rsidP="0067514A">
            <w:pPr>
              <w:spacing w:after="0" w:line="240" w:lineRule="auto"/>
              <w:rPr>
                <w:rFonts w:ascii="inherit" w:eastAsia="Times New Roman" w:hAnsi="inherit" w:cs="Times New Roman"/>
                <w:spacing w:val="-2"/>
                <w:sz w:val="16"/>
                <w:szCs w:val="16"/>
              </w:rPr>
            </w:pPr>
            <w:proofErr w:type="spellStart"/>
            <w:proofErr w:type="gramStart"/>
            <w:r w:rsidRPr="0067514A">
              <w:rPr>
                <w:rFonts w:ascii="Courier New" w:eastAsia="Times New Roman" w:hAnsi="Courier New" w:cs="Courier New"/>
                <w:sz w:val="16"/>
                <w:szCs w:val="16"/>
              </w:rPr>
              <w:t>nifi.stop</w:t>
            </w:r>
            <w:proofErr w:type="gramEnd"/>
            <w:r w:rsidRPr="0067514A">
              <w:rPr>
                <w:rFonts w:ascii="Courier New" w:eastAsia="Times New Roman" w:hAnsi="Courier New" w:cs="Courier New"/>
                <w:sz w:val="16"/>
                <w:szCs w:val="16"/>
              </w:rPr>
              <w:t>.notification.services</w:t>
            </w:r>
            <w:proofErr w:type="spellEnd"/>
          </w:p>
        </w:tc>
        <w:tc>
          <w:tcPr>
            <w:tcW w:w="707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0489E8B" w14:textId="77777777" w:rsidR="0067514A" w:rsidRPr="0067514A" w:rsidRDefault="0067514A" w:rsidP="0067514A">
            <w:pPr>
              <w:spacing w:after="0" w:line="240" w:lineRule="auto"/>
              <w:rPr>
                <w:rFonts w:ascii="inherit" w:eastAsia="Times New Roman" w:hAnsi="inherit" w:cs="Times New Roman"/>
                <w:spacing w:val="-2"/>
                <w:sz w:val="16"/>
                <w:szCs w:val="16"/>
              </w:rPr>
            </w:pPr>
            <w:r w:rsidRPr="0067514A">
              <w:rPr>
                <w:rFonts w:ascii="inherit" w:eastAsia="Times New Roman" w:hAnsi="inherit" w:cs="Times New Roman"/>
                <w:spacing w:val="-2"/>
                <w:sz w:val="16"/>
                <w:szCs w:val="16"/>
              </w:rPr>
              <w:t>This property is a comma-separated list of Notification Service identifiers that correspond to the Notification Services defined in the </w:t>
            </w:r>
            <w:proofErr w:type="spellStart"/>
            <w:proofErr w:type="gramStart"/>
            <w:r w:rsidRPr="0067514A">
              <w:rPr>
                <w:rFonts w:ascii="Courier New" w:eastAsia="Times New Roman" w:hAnsi="Courier New" w:cs="Courier New"/>
                <w:sz w:val="16"/>
                <w:szCs w:val="16"/>
              </w:rPr>
              <w:t>notification.services</w:t>
            </w:r>
            <w:proofErr w:type="gramEnd"/>
            <w:r w:rsidRPr="0067514A">
              <w:rPr>
                <w:rFonts w:ascii="Courier New" w:eastAsia="Times New Roman" w:hAnsi="Courier New" w:cs="Courier New"/>
                <w:sz w:val="16"/>
                <w:szCs w:val="16"/>
              </w:rPr>
              <w:t>.file</w:t>
            </w:r>
            <w:proofErr w:type="spellEnd"/>
            <w:r w:rsidRPr="0067514A">
              <w:rPr>
                <w:rFonts w:ascii="inherit" w:eastAsia="Times New Roman" w:hAnsi="inherit" w:cs="Times New Roman"/>
                <w:spacing w:val="-2"/>
                <w:sz w:val="16"/>
                <w:szCs w:val="16"/>
              </w:rPr>
              <w:t> property. The services with the specified identifiers will be used to notify their configured recipients whenever NiFi is stopped.</w:t>
            </w:r>
          </w:p>
        </w:tc>
      </w:tr>
      <w:tr w:rsidR="0067514A" w:rsidRPr="0067514A" w14:paraId="4DF7A741" w14:textId="77777777" w:rsidTr="0067514A">
        <w:trPr>
          <w:trHeight w:val="601"/>
          <w:tblCellSpacing w:w="15" w:type="dxa"/>
        </w:trPr>
        <w:tc>
          <w:tcPr>
            <w:tcW w:w="274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F0A6AF1" w14:textId="77777777" w:rsidR="0067514A" w:rsidRPr="0067514A" w:rsidRDefault="0067514A" w:rsidP="0067514A">
            <w:pPr>
              <w:spacing w:after="0" w:line="240" w:lineRule="auto"/>
              <w:rPr>
                <w:rFonts w:ascii="inherit" w:eastAsia="Times New Roman" w:hAnsi="inherit" w:cs="Times New Roman"/>
                <w:spacing w:val="-2"/>
                <w:sz w:val="16"/>
                <w:szCs w:val="16"/>
              </w:rPr>
            </w:pPr>
            <w:proofErr w:type="spellStart"/>
            <w:proofErr w:type="gramStart"/>
            <w:r w:rsidRPr="0067514A">
              <w:rPr>
                <w:rFonts w:ascii="Courier New" w:eastAsia="Times New Roman" w:hAnsi="Courier New" w:cs="Courier New"/>
                <w:sz w:val="16"/>
                <w:szCs w:val="16"/>
              </w:rPr>
              <w:t>nifi.died</w:t>
            </w:r>
            <w:proofErr w:type="gramEnd"/>
            <w:r w:rsidRPr="0067514A">
              <w:rPr>
                <w:rFonts w:ascii="Courier New" w:eastAsia="Times New Roman" w:hAnsi="Courier New" w:cs="Courier New"/>
                <w:sz w:val="16"/>
                <w:szCs w:val="16"/>
              </w:rPr>
              <w:t>.notification.services</w:t>
            </w:r>
            <w:proofErr w:type="spellEnd"/>
          </w:p>
        </w:tc>
        <w:tc>
          <w:tcPr>
            <w:tcW w:w="707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4DB5AE97" w14:textId="77777777" w:rsidR="0067514A" w:rsidRPr="0067514A" w:rsidRDefault="0067514A" w:rsidP="0067514A">
            <w:pPr>
              <w:spacing w:after="0" w:line="240" w:lineRule="auto"/>
              <w:rPr>
                <w:rFonts w:ascii="inherit" w:eastAsia="Times New Roman" w:hAnsi="inherit" w:cs="Times New Roman"/>
                <w:spacing w:val="-2"/>
                <w:sz w:val="16"/>
                <w:szCs w:val="16"/>
              </w:rPr>
            </w:pPr>
            <w:r w:rsidRPr="0067514A">
              <w:rPr>
                <w:rFonts w:ascii="inherit" w:eastAsia="Times New Roman" w:hAnsi="inherit" w:cs="Times New Roman"/>
                <w:spacing w:val="-2"/>
                <w:sz w:val="16"/>
                <w:szCs w:val="16"/>
              </w:rPr>
              <w:t>This property is a comma-separated list of Notification Service identifiers that correspond to the Notification Services defined in the </w:t>
            </w:r>
            <w:proofErr w:type="spellStart"/>
            <w:proofErr w:type="gramStart"/>
            <w:r w:rsidRPr="0067514A">
              <w:rPr>
                <w:rFonts w:ascii="Courier New" w:eastAsia="Times New Roman" w:hAnsi="Courier New" w:cs="Courier New"/>
                <w:sz w:val="16"/>
                <w:szCs w:val="16"/>
              </w:rPr>
              <w:t>notification.services</w:t>
            </w:r>
            <w:proofErr w:type="gramEnd"/>
            <w:r w:rsidRPr="0067514A">
              <w:rPr>
                <w:rFonts w:ascii="Courier New" w:eastAsia="Times New Roman" w:hAnsi="Courier New" w:cs="Courier New"/>
                <w:sz w:val="16"/>
                <w:szCs w:val="16"/>
              </w:rPr>
              <w:t>.file</w:t>
            </w:r>
            <w:proofErr w:type="spellEnd"/>
            <w:r w:rsidRPr="0067514A">
              <w:rPr>
                <w:rFonts w:ascii="inherit" w:eastAsia="Times New Roman" w:hAnsi="inherit" w:cs="Times New Roman"/>
                <w:spacing w:val="-2"/>
                <w:sz w:val="16"/>
                <w:szCs w:val="16"/>
              </w:rPr>
              <w:t> property. The services with the specified identifiers will be used to notify their configured recipients if the bootstrap determines that NiFi has unexpectedly died.</w:t>
            </w:r>
          </w:p>
        </w:tc>
      </w:tr>
    </w:tbl>
    <w:p w14:paraId="39354587" w14:textId="77777777" w:rsidR="0067514A" w:rsidRPr="0067514A" w:rsidRDefault="0067514A" w:rsidP="0067514A">
      <w:pPr>
        <w:rPr>
          <w:b/>
          <w:bCs/>
          <w:sz w:val="24"/>
          <w:szCs w:val="24"/>
        </w:rPr>
      </w:pPr>
      <w:r w:rsidRPr="0067514A">
        <w:rPr>
          <w:b/>
          <w:bCs/>
          <w:sz w:val="24"/>
          <w:szCs w:val="24"/>
        </w:rPr>
        <w:t xml:space="preserve">Properties: </w:t>
      </w:r>
    </w:p>
    <w:p w14:paraId="4BB92DAD" w14:textId="77777777" w:rsidR="0067514A" w:rsidRPr="0067514A" w:rsidRDefault="0067514A" w:rsidP="0067514A">
      <w:pPr>
        <w:rPr>
          <w:b/>
          <w:bCs/>
          <w:sz w:val="24"/>
          <w:szCs w:val="24"/>
        </w:rPr>
      </w:pPr>
      <w:proofErr w:type="spellStart"/>
      <w:r w:rsidRPr="0067514A">
        <w:rPr>
          <w:b/>
          <w:bCs/>
          <w:sz w:val="24"/>
          <w:szCs w:val="24"/>
        </w:rPr>
        <w:t>Bootstrap.conf</w:t>
      </w:r>
      <w:proofErr w:type="spellEnd"/>
    </w:p>
    <w:p w14:paraId="2015B92D" w14:textId="228570D6" w:rsidR="0067514A" w:rsidRDefault="0067514A">
      <w:pPr>
        <w:rPr>
          <w:sz w:val="16"/>
          <w:szCs w:val="16"/>
        </w:rPr>
      </w:pPr>
    </w:p>
    <w:p w14:paraId="74467F1B" w14:textId="77777777" w:rsidR="003E6A7A" w:rsidRPr="0067514A" w:rsidRDefault="003E6A7A">
      <w:pPr>
        <w:rPr>
          <w:sz w:val="16"/>
          <w:szCs w:val="16"/>
        </w:rPr>
      </w:pPr>
      <w:bookmarkStart w:id="0" w:name="_GoBack"/>
      <w:bookmarkEnd w:id="0"/>
    </w:p>
    <w:sectPr w:rsidR="003E6A7A" w:rsidRPr="0067514A" w:rsidSect="00AA4B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4A"/>
    <w:rsid w:val="003E6A7A"/>
    <w:rsid w:val="0067514A"/>
    <w:rsid w:val="00AA4B51"/>
    <w:rsid w:val="00F641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41AB"/>
  <w15:chartTrackingRefBased/>
  <w15:docId w15:val="{C20AE27E-222D-46A6-84E9-4B1D25C0E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lock">
    <w:name w:val="tableblock"/>
    <w:basedOn w:val="Normal"/>
    <w:rsid w:val="006751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514A"/>
    <w:rPr>
      <w:b/>
      <w:bCs/>
    </w:rPr>
  </w:style>
  <w:style w:type="character" w:styleId="HTMLCode">
    <w:name w:val="HTML Code"/>
    <w:basedOn w:val="DefaultParagraphFont"/>
    <w:uiPriority w:val="99"/>
    <w:semiHidden/>
    <w:unhideWhenUsed/>
    <w:rsid w:val="0067514A"/>
    <w:rPr>
      <w:rFonts w:ascii="Courier New" w:eastAsia="Times New Roman" w:hAnsi="Courier New" w:cs="Courier New"/>
      <w:sz w:val="20"/>
      <w:szCs w:val="20"/>
    </w:rPr>
  </w:style>
  <w:style w:type="character" w:styleId="Emphasis">
    <w:name w:val="Emphasis"/>
    <w:basedOn w:val="DefaultParagraphFont"/>
    <w:uiPriority w:val="20"/>
    <w:qFormat/>
    <w:rsid w:val="0067514A"/>
    <w:rPr>
      <w:i/>
      <w:iCs/>
    </w:rPr>
  </w:style>
  <w:style w:type="character" w:styleId="Hyperlink">
    <w:name w:val="Hyperlink"/>
    <w:basedOn w:val="DefaultParagraphFont"/>
    <w:uiPriority w:val="99"/>
    <w:semiHidden/>
    <w:unhideWhenUsed/>
    <w:rsid w:val="006751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40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ifi.apache.org/docs/nifi-docs/html/administration-guid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singhal</dc:creator>
  <cp:keywords/>
  <dc:description/>
  <cp:lastModifiedBy>ajay singhal</cp:lastModifiedBy>
  <cp:revision>3</cp:revision>
  <dcterms:created xsi:type="dcterms:W3CDTF">2019-11-06T07:48:00Z</dcterms:created>
  <dcterms:modified xsi:type="dcterms:W3CDTF">2019-11-06T07:55:00Z</dcterms:modified>
</cp:coreProperties>
</file>