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Private Credit Market Analysis</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Private Credit Market Analysis</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Draft</w:t>
            </w:r>
          </w:p>
        </w:tc>
      </w:tr>
      <w:tr>
        <w:tc>
          <w:tcPr>
            <w:tcW w:type="dxa" w:w="4419"/>
          </w:tcPr>
          <w:p>
            <w:r>
              <w:rPr>
                <w:b/>
              </w:rPr>
              <w:t>Date</w:t>
            </w:r>
          </w:p>
        </w:tc>
        <w:tc>
          <w:tcPr>
            <w:tcW w:type="dxa" w:w="4419"/>
          </w:tcPr>
          <w:p>
            <w:r>
              <w:t>March 27,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goal of this project is to educate investors about the Indian private credit market, addressing concerns sparked by global headlines. The target users are investment firms and their investors. The value proposition is to provide a clear understanding of the Indian private credit market, highlighting its differences from global markets and its potential for long-term growth. The current pain point is the lack of understanding and awareness about the Indian private credit market among investors.</w:t>
      </w:r>
    </w:p>
    <w:p>
      <w:pPr>
        <w:pBdr>
          <w:bottom w:val="single" w:sz="4" w:space="1" w:color="DDDDDD"/>
        </w:pBdr>
      </w:pPr>
    </w:p>
    <w:p/>
    <w:p>
      <w:pPr>
        <w:pStyle w:val="Heading1"/>
      </w:pPr>
      <w:r>
        <w:rPr>
          <w:b/>
          <w:color w:val="1A1A2E"/>
          <w:sz w:val="28"/>
        </w:rPr>
        <w:t>2. Business Objectives</w:t>
      </w:r>
    </w:p>
    <w:p/>
    <w:p>
      <w:r>
        <w:rPr>
          <w:sz w:val="21"/>
        </w:rPr>
        <w:t>The business objective is to educate investors about the Indian private credit market, with a target metric of increased investor understanding, and a priority of medium.</w:t>
      </w:r>
    </w:p>
    <w:p>
      <w:pPr>
        <w:pBdr>
          <w:bottom w:val="single" w:sz="4" w:space="1" w:color="DDDDDD"/>
        </w:pBdr>
      </w:pPr>
    </w:p>
    <w:p/>
    <w:p>
      <w:pPr>
        <w:pStyle w:val="Heading1"/>
      </w:pPr>
      <w:r>
        <w:rPr>
          <w:b/>
          <w:color w:val="1A1A2E"/>
          <w:sz w:val="28"/>
        </w:rPr>
        <w:t>3. Project Scope</w:t>
      </w:r>
    </w:p>
    <w:p/>
    <w:p>
      <w:r>
        <w:rPr>
          <w:sz w:val="21"/>
        </w:rPr>
        <w:t>in_scope: ['Analysis of the Indian private credit market']</w:t>
      </w:r>
    </w:p>
    <w:p>
      <w:r>
        <w:rPr>
          <w:sz w:val="21"/>
        </w:rPr>
        <w:t>out_of_scope: ['Global private credit markets']</w:t>
      </w:r>
    </w:p>
    <w:p>
      <w:r>
        <w:rPr>
          <w:sz w:val="21"/>
        </w:rPr>
        <w:t>assumptions: ['Investors are concerned about private credit due to global headlines']</w:t>
      </w:r>
    </w:p>
    <w:p>
      <w:pPr>
        <w:pBdr>
          <w:bottom w:val="single" w:sz="4" w:space="1" w:color="DDDDDD"/>
        </w:pBdr>
      </w:pPr>
    </w:p>
    <w:p/>
    <w:p>
      <w:pPr>
        <w:pStyle w:val="Heading1"/>
      </w:pPr>
      <w:r>
        <w:rPr>
          <w:b/>
          <w:color w:val="1A1A2E"/>
          <w:sz w:val="28"/>
        </w:rPr>
        <w:t>4. Functional Requirements</w:t>
      </w:r>
    </w:p>
    <w:p/>
    <w:p>
      <w:r>
        <w:rPr>
          <w:sz w:val="21"/>
        </w:rPr>
        <w:t>{'id': 'FR-001', 'title': 'Provide educational content', 'description': 'Create and distribute informative materials about the Indian private credit market', 'priority': 'medium', 'acceptance_note': 'The educational content is created and distributed to the target audience.'}</w:t>
      </w:r>
    </w:p>
    <w:p>
      <w:pPr>
        <w:pBdr>
          <w:bottom w:val="single" w:sz="4" w:space="1" w:color="DDDDDD"/>
        </w:pBdr>
      </w:pPr>
    </w:p>
    <w:p/>
    <w:p>
      <w:pPr>
        <w:pStyle w:val="Heading1"/>
      </w:pPr>
      <w:r>
        <w:rPr>
          <w:b/>
          <w:color w:val="1A1A2E"/>
          <w:sz w:val="28"/>
        </w:rPr>
        <w:t>5. Non-Functional Requirements</w:t>
      </w:r>
    </w:p>
    <w:p/>
    <w:p>
      <w:r>
        <w:rPr>
          <w:sz w:val="21"/>
        </w:rPr>
        <w:t>compliance: [{'id': 'NFR-001', 'requirement': 'Adhere to local laws and regulations', 'priority': 'high', 'threshold': '100% compliance with local laws and regulations'}]</w:t>
      </w:r>
    </w:p>
    <w:p>
      <w:pPr>
        <w:pBdr>
          <w:bottom w:val="single" w:sz="4" w:space="1" w:color="DDDDDD"/>
        </w:pBdr>
      </w:pPr>
    </w:p>
    <w:p/>
    <w:p>
      <w:pPr>
        <w:pStyle w:val="Heading1"/>
      </w:pPr>
      <w:r>
        <w:rPr>
          <w:b/>
          <w:color w:val="1A1A2E"/>
          <w:sz w:val="28"/>
        </w:rPr>
        <w:t>6. Stakeholders &amp; Key Decisions</w:t>
      </w:r>
    </w:p>
    <w:p/>
    <w:p>
      <w:r>
        <w:rPr>
          <w:sz w:val="21"/>
        </w:rPr>
        <w:t>stakeholders: [{'name': 'Kotak Mutual Fund', 'role': 'Investment Firm', 'decisions': ['Approve the educational content before distribution']}]</w:t>
      </w:r>
    </w:p>
    <w:p>
      <w:pPr>
        <w:pBdr>
          <w:bottom w:val="single" w:sz="4" w:space="1" w:color="DDDDDD"/>
        </w:pBdr>
      </w:pPr>
    </w:p>
    <w:p/>
    <w:p>
      <w:pPr>
        <w:pStyle w:val="Heading1"/>
      </w:pPr>
      <w:r>
        <w:rPr>
          <w:b/>
          <w:color w:val="1A1A2E"/>
          <w:sz w:val="28"/>
        </w:rPr>
        <w:t>7. Risks, Constraints &amp; Dependencies</w:t>
      </w:r>
    </w:p>
    <w:p/>
    <w:p>
      <w:r>
        <w:rPr>
          <w:sz w:val="21"/>
        </w:rPr>
        <w:t>{'risk': 'Non-compliance with local laws and regulations', 'impact': 'high', 'mitigation': 'Ensure adherence to local laws and regulations', 'owner': 'Compliance Team'}</w:t>
      </w:r>
    </w:p>
    <w:p>
      <w:r>
        <w:rPr>
          <w:sz w:val="21"/>
        </w:rPr>
        <w:t>{'constraint': 'Distribution restrictions in certain jurisdictions', 'impact': 'medium', 'mitigation': 'Obtain necessary approvals before distribution', 'owner': 'Distribution Team'}</w:t>
      </w:r>
    </w:p>
    <w:p>
      <w:pPr>
        <w:pBdr>
          <w:bottom w:val="single" w:sz="4" w:space="1" w:color="DDDDDD"/>
        </w:pBdr>
      </w:pPr>
    </w:p>
    <w:p/>
    <w:p>
      <w:pPr>
        <w:pStyle w:val="Heading1"/>
      </w:pPr>
      <w:r>
        <w:rPr>
          <w:b/>
          <w:color w:val="1A1A2E"/>
          <w:sz w:val="28"/>
        </w:rPr>
        <w:t>8. Feature Prioritization</w:t>
      </w:r>
    </w:p>
    <w:p/>
    <w:p>
      <w:r>
        <w:rPr>
          <w:sz w:val="21"/>
        </w:rPr>
        <w:t>must_have: ['FR-001: Provide educational content']</w:t>
      </w:r>
    </w:p>
    <w:p>
      <w:r>
        <w:rPr>
          <w:sz w:val="21"/>
        </w:rPr>
        <w:t>should_have: []</w:t>
      </w:r>
    </w:p>
    <w:p>
      <w:r>
        <w:rPr>
          <w:sz w:val="21"/>
        </w:rPr>
        <w:t>could_have: []</w:t>
      </w:r>
    </w:p>
    <w:p>
      <w:r>
        <w:rPr>
          <w:sz w:val="21"/>
        </w:rPr>
        <w:t>won't_have: []</w:t>
      </w:r>
    </w:p>
    <w:p>
      <w:pPr>
        <w:pBdr>
          <w:bottom w:val="single" w:sz="4" w:space="1" w:color="DDDDDD"/>
        </w:pBdr>
      </w:pPr>
    </w:p>
    <w:p/>
    <w:p>
      <w:pPr>
        <w:pStyle w:val="Heading1"/>
      </w:pPr>
      <w:r>
        <w:rPr>
          <w:b/>
          <w:color w:val="1A1A2E"/>
          <w:sz w:val="28"/>
        </w:rPr>
        <w:t>9. Timeline &amp; Milestones</w:t>
      </w:r>
    </w:p>
    <w:p/>
    <w:p>
      <w:r>
        <w:rPr>
          <w:sz w:val="21"/>
        </w:rPr>
        <w:t>milestones: [{'name': 'Project kick-off', 'target_date': 'Week 1'}, {'name': 'Educational content creation', 'target_date': 'Week 4'}, {'name': 'Distribution of educational content', 'target_date': 'Week 8'}]</w:t>
      </w:r>
    </w:p>
    <w:p>
      <w:r>
        <w:rPr>
          <w:sz w:val="21"/>
        </w:rPr>
        <w:t>next_immediate_step: Project kick-off</w:t>
      </w:r>
    </w:p>
    <w:p>
      <w:pPr>
        <w:pBdr>
          <w:bottom w:val="single" w:sz="4" w:space="1" w:color="DDDDDD"/>
        </w:pBdr>
      </w:pPr>
    </w:p>
    <w:p/>
    <w:p>
      <w:pPr>
        <w:jc w:val="center"/>
      </w:pPr>
      <w:r>
        <w:rPr>
          <w:i/>
          <w:color w:val="AAAAAA"/>
          <w:sz w:val="18"/>
        </w:rPr>
        <w:t>Generated by NEXUS AI Agent  ·  March 27, 2026 21:13</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