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Overrides: cdoes (1 emails)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Overrides: cdoes (1 emails)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High-level overview of the project 'Overrides: cdoes (1 emails)' to merge communications into a single, consistent BRD and resolve contradictions.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Fulfill requested capabilities with a high priority and metric of Success.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Primary requested features. Out-of-Scope: Out of scope items. Assumptions: Context provided is accurate.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FR-001: Core Feature - Standard project requirement fulfillment with high priority.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b/>
          <w:color w:val="224488"/>
          <w:sz w:val="21"/>
        </w:rPr>
        <w:t>NFR-001: Reliability - System must be stable.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Stakeholders: Manual Selection (User) with the role of Stakeholder and needs of Documented requirements.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Risks: Missing details with high impact and mitigation of Human review required. Constraints: Limited by extraction success.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MoSCoW: Core Business Logic with priority P0 and rationale of Base requirement.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Milestones: Current Draft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15:35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