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Apollo Project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Apollo Project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27,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The Apollo project aims to create a comprehensive proposal document, addressing the pressing need to finalize the proposal. This project is driven by the objective to complete the proposal document, with a high priority metric. The scope of the project is focused on creating the proposal, while excluding the implementation phase. The key stakeholder, Atharva Pardeshi, Meeting Organizer, requires a finalized proposal document to move forward. The project is subject to a time constraint, with a meeting scheduled at 4 pm today to discuss and finalize the proposal.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The following business objectives have been identified for the Apollo project: Finalize the proposal for Apollo, Meet stakeholder needs, Create a comprehensive proposal document, Ensure usability of the proposal document.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The scope of the Apollo project is defined as follows: In Scope: Creating a proposal for Apollo, Out of Scope: Implementation of the proposal, Assumptions: All stakeholders will be available for the meeting at 4 pm today.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sz w:val="21"/>
        </w:rPr>
        <w:t>The functional requirements for the Apollo project are: FR-001 Proposal Document, FR-002 Meeting Organization, FR-003 Stakeholder Communication, FR-004 Proposal Review and Approval, FR-005 Time Management.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The non-functional requirements for the Apollo project are: Performance (Response Time, Concurrency, Search Efficiency), Security (Data Encryption, Authentication, Data Backup), Scalability.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The key stakeholder, Atharva Pardeshi, Meeting Organizer, requires a finalized proposal document to move forward. The project is subject to a time constraint, with a meeting scheduled at 4 pm today to discuss and finalize the proposal.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The project is not without risks, including the potential unavailability of stakeholders, which will be mitigated through reminders and notifications.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The project will prioritize the creation of a comprehensive proposal document, with a high priority requirement (FR-001).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The project timeline is centered around the meeting at 4 pm today, with the completion of the proposal document being the primary milestone.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27, 2026 14:52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