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Overrides: User Identified Project (1 emails) (Recovery)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Overrides: User Identified Project (1 emails) (Recovery)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Incomplete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System failed to reach LLM nodes. This is a recovery document.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pPr>
        <w:pStyle w:val="ListNumber"/>
      </w:pPr>
      <w:r>
        <w:rPr>
          <w:sz w:val="21"/>
        </w:rPr>
        <w:t>Core requirements extraction</w:t>
      </w:r>
    </w:p>
    <w:p>
      <w:pPr>
        <w:pStyle w:val="ListNumber"/>
      </w:pPr>
      <w:r>
        <w:rPr>
          <w:sz w:val="21"/>
        </w:rPr>
        <w:t>Baseline system stability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 Scope: Basic project identity. Out of Scope: AI-enhanced content.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 System Recovery</w:t>
      </w:r>
    </w:p>
    <w:p>
      <w:r>
        <w:rPr>
          <w:sz w:val="21"/>
        </w:rPr>
        <w:t>Description: Ensure data persistence during API blackout.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High Availability: Failover to local model.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Stakeholders: System Admin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Risk: API Rate Limit (TPM Exceeded)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Must-have: System stability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M1: Restore Groq Connection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16:16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