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Overrides: User Identified Project (1 emails) (Recovery)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Overrides: User Identified Project (1 emails) (Recovery)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Incomplete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System failed to reach LLM nodes. This is a recovery document.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Core requirements extraction</w:t>
      </w:r>
    </w:p>
    <w:p>
      <w:pPr>
        <w:pStyle w:val="ListNumber"/>
      </w:pPr>
      <w:r>
        <w:rPr>
          <w:sz w:val="21"/>
        </w:rPr>
        <w:t>Baseline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 Scope: Basic project identity. Out of Scope: AI-enhanced content.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System Recovery</w:t>
      </w:r>
    </w:p>
    <w:p>
      <w:r>
        <w:rPr>
          <w:sz w:val="21"/>
        </w:rPr>
        <w:t>Description: Ensure data persistence during API blackout.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High Availability: Failover to local model.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Stakeholders: System Admin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Risk: API Rate Limit (TPM Exceeded)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Must-have: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M1: Restore Groq Connection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16:11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