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Project Apollo Website Rewrite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Project Apollo Website Rewrite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27,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The Project Apollo Website Rewrite aims to revamp the existing website for a new client, addressing the pressing issue of an outdated online presence. The primary objective of this project is to complete the website rewrite within a stringent 4-week timeline, ensuring that the new website meets the client's requirements and expectations. The project's success will be measured by its ability to deliver a fully functional and responsive website within the allocated timeframe.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The following business objectives have been identified for the Project Apollo Website Rewrite: Complete the website rewrite within 4 weeks, Achieve a website load time of under 3 seconds, Increase website responsiveness by 20%, Reduce project timeline delays by 15%, Ensure 100% client satisfaction with the website rewrite.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The Project Apollo Website Rewrite aims to deliver a rewritten website for the client within a 4-week timeline. The scope of this project includes website rewrite to meet the client's requirements and excludes other client projects that are not related to the website rewrite.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The following functional requirements have been identified: FR-001 Website Rewrite, FR-002 Responsive Design, FR-003 Content Management, FR-004 Search Engine Optimization (SEO), FR-005 Security, FR-006 Performance Optimization.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The following non-functional requirements have been identified: Loading Time, Performance Optimization.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Key stakeholders, including Atharva Pardeshi, the Project Manager, will play a crucial role in ensuring the project's success.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The project is driven by a set of constraints, including the 4-week timeline, and mitigate potential risks, such as delays in receiving client feedback.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The project team will prioritize the website rewrite feature, with a focus on delivering a high-quality solution that meets the client's needs.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The project's success will be measured by its ability to complete the website rewrite within the 4-week timeline, with key milestones, including a kickoff meeting and the finalization of business requirements.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27, 2026 14:48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