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BRD: Fraud Protection System (Recovery)</w:t>
      </w:r>
    </w:p>
    <w:p>
      <w:pPr>
        <w:jc w:val="center"/>
      </w:pPr>
      <w:r>
        <w:rPr>
          <w:color w:val="666688"/>
          <w:sz w:val="22"/>
        </w:rPr>
        <w:t>Business Requirements Document — NEXUS AI Agent</w:t>
      </w:r>
    </w:p>
    <w:p/>
    <w:p>
      <w:pPr>
        <w:pBdr>
          <w:bottom w:val="single" w:sz="4" w:space="1" w:color="DDDDDD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419"/>
          </w:tcPr>
          <w:p>
            <w:r>
              <w:t>BRD: Fraud Protection System (Recovery)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419"/>
          </w:tcPr>
          <w:p>
            <w:r>
              <w:t>1.0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419"/>
          </w:tcPr>
          <w:p>
            <w:r>
              <w:t>Incomplete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419"/>
          </w:tcPr>
          <w:p>
            <w:r>
              <w:t>March 27, 2026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419"/>
          </w:tcPr>
          <w:p>
            <w:r>
              <w:t>NEXUS AI Agent</w:t>
            </w:r>
          </w:p>
        </w:tc>
      </w:tr>
    </w:tbl>
    <w:p/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1. Executive Summary</w:t>
      </w:r>
    </w:p>
    <w:p/>
    <w:p>
      <w:r>
        <w:rPr>
          <w:sz w:val="21"/>
        </w:rPr>
        <w:t>System failed to reach LLM nodes. This is a recovery document.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2. Business Objectives</w:t>
      </w:r>
    </w:p>
    <w:p/>
    <w:p>
      <w:pPr>
        <w:pStyle w:val="ListNumber"/>
      </w:pPr>
      <w:r>
        <w:rPr>
          <w:sz w:val="21"/>
        </w:rPr>
        <w:t>Core requirements extraction</w:t>
      </w:r>
    </w:p>
    <w:p>
      <w:pPr>
        <w:pStyle w:val="ListNumber"/>
      </w:pPr>
      <w:r>
        <w:rPr>
          <w:sz w:val="21"/>
        </w:rPr>
        <w:t>Baseline system stability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3. Project Scope</w:t>
      </w:r>
    </w:p>
    <w:p/>
    <w:p>
      <w:r>
        <w:rPr>
          <w:sz w:val="21"/>
        </w:rPr>
        <w:t>In Scope: Basic project identity. Out of Scope: AI-enhanced content.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4. Functional Requirements</w:t>
      </w:r>
    </w:p>
    <w:p/>
    <w:p>
      <w:r>
        <w:rPr>
          <w:b/>
          <w:color w:val="224488"/>
          <w:sz w:val="21"/>
        </w:rPr>
        <w:t>FR-001 System Recovery</w:t>
      </w:r>
    </w:p>
    <w:p>
      <w:r>
        <w:rPr>
          <w:sz w:val="21"/>
        </w:rPr>
        <w:t>Description: Ensure data persistence during API blackout.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5. Non-Functional Requirements</w:t>
      </w:r>
    </w:p>
    <w:p/>
    <w:p>
      <w:r>
        <w:rPr>
          <w:sz w:val="21"/>
        </w:rPr>
        <w:t>High Availability: Failover to local model.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6. Stakeholders &amp; Key Decisions</w:t>
      </w:r>
    </w:p>
    <w:p/>
    <w:p>
      <w:r>
        <w:rPr>
          <w:sz w:val="21"/>
        </w:rPr>
        <w:t>Stakeholders: System Admin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7. Risks, Constraints &amp; Dependencies</w:t>
      </w:r>
    </w:p>
    <w:p/>
    <w:p>
      <w:r>
        <w:rPr>
          <w:sz w:val="21"/>
        </w:rPr>
        <w:t>Risk: API Rate Limit (TPM Exceeded)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8. Feature Prioritization</w:t>
      </w:r>
    </w:p>
    <w:p/>
    <w:p>
      <w:r>
        <w:rPr>
          <w:sz w:val="21"/>
        </w:rPr>
        <w:t>Must-have: System stability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9. Timeline &amp; Milestones</w:t>
      </w:r>
    </w:p>
    <w:p/>
    <w:p>
      <w:r>
        <w:rPr>
          <w:sz w:val="21"/>
        </w:rPr>
        <w:t>M1: Restore Groq Connection</w:t>
      </w:r>
    </w:p>
    <w:p>
      <w:pPr>
        <w:pBdr>
          <w:bottom w:val="single" w:sz="4" w:space="1" w:color="DDDDDD"/>
        </w:pBdr>
      </w:pPr>
    </w:p>
    <w:p/>
    <w:p>
      <w:pPr>
        <w:jc w:val="center"/>
      </w:pPr>
      <w:r>
        <w:rPr>
          <w:i/>
          <w:color w:val="AAAAAA"/>
          <w:sz w:val="18"/>
        </w:rPr>
        <w:t>Generated by NEXUS AI Agent  ·  March 27, 2026 16:43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