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2.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3.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4.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5.xml" ContentType="application/vnd.openxmlformats-officedocument.themeOverrid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CC0D8A" w14:textId="35A755C8" w:rsidR="00EF0C9B" w:rsidRDefault="00F23639" w:rsidP="003F430A">
      <w:pPr>
        <w:jc w:val="both"/>
        <w:rPr>
          <w:rFonts w:ascii="Helvetica" w:hAnsi="Helvetica"/>
          <w:b/>
          <w:bCs/>
          <w:color w:val="595959" w:themeColor="text1" w:themeTint="A6"/>
          <w:sz w:val="28"/>
          <w:szCs w:val="32"/>
        </w:rPr>
      </w:pPr>
      <w:r w:rsidRPr="00F23639">
        <w:rPr>
          <w:rFonts w:ascii="Helvetica" w:hAnsi="Helvetica"/>
          <w:b/>
          <w:bCs/>
          <w:color w:val="595959" w:themeColor="text1" w:themeTint="A6"/>
          <w:sz w:val="28"/>
          <w:szCs w:val="32"/>
        </w:rPr>
        <w:t>Impact of Covid on bank</w:t>
      </w:r>
      <w:r>
        <w:rPr>
          <w:rFonts w:ascii="Helvetica" w:hAnsi="Helvetica"/>
          <w:b/>
          <w:bCs/>
          <w:color w:val="595959" w:themeColor="text1" w:themeTint="A6"/>
          <w:sz w:val="28"/>
          <w:szCs w:val="32"/>
        </w:rPr>
        <w:t xml:space="preserve"> credit repayment </w:t>
      </w:r>
      <w:r w:rsidRPr="00F23639">
        <w:rPr>
          <w:rFonts w:ascii="Helvetica" w:hAnsi="Helvetica"/>
          <w:b/>
          <w:bCs/>
          <w:color w:val="595959" w:themeColor="text1" w:themeTint="A6"/>
          <w:sz w:val="28"/>
          <w:szCs w:val="32"/>
        </w:rPr>
        <w:t>and payment system</w:t>
      </w:r>
      <w:r>
        <w:rPr>
          <w:rFonts w:ascii="Helvetica" w:hAnsi="Helvetica"/>
          <w:b/>
          <w:bCs/>
          <w:color w:val="595959" w:themeColor="text1" w:themeTint="A6"/>
          <w:sz w:val="28"/>
          <w:szCs w:val="32"/>
        </w:rPr>
        <w:t xml:space="preserve"> of India</w:t>
      </w:r>
    </w:p>
    <w:p w14:paraId="54306815" w14:textId="77777777" w:rsidR="00EF0C9B" w:rsidRDefault="00EF0C9B" w:rsidP="003F430A">
      <w:pPr>
        <w:jc w:val="both"/>
        <w:rPr>
          <w:rFonts w:ascii="Helvetica" w:hAnsi="Helvetica"/>
          <w:b/>
          <w:bCs/>
          <w:color w:val="595959" w:themeColor="text1" w:themeTint="A6"/>
          <w:sz w:val="28"/>
          <w:szCs w:val="32"/>
        </w:rPr>
      </w:pPr>
    </w:p>
    <w:p w14:paraId="6015DE9E" w14:textId="77777777" w:rsidR="00EF0C9B" w:rsidRDefault="00EF0C9B" w:rsidP="003F430A">
      <w:pPr>
        <w:jc w:val="both"/>
        <w:rPr>
          <w:rFonts w:ascii="Helvetica" w:hAnsi="Helvetica"/>
          <w:b/>
          <w:bCs/>
          <w:color w:val="595959" w:themeColor="text1" w:themeTint="A6"/>
          <w:sz w:val="28"/>
          <w:szCs w:val="32"/>
        </w:rPr>
      </w:pPr>
    </w:p>
    <w:p w14:paraId="3EF03AD1" w14:textId="77777777" w:rsidR="0010401E" w:rsidRPr="00776543" w:rsidRDefault="0010401E" w:rsidP="003F430A">
      <w:pPr>
        <w:jc w:val="both"/>
        <w:rPr>
          <w:rFonts w:ascii="Helvetica" w:hAnsi="Helvetica"/>
          <w:b/>
          <w:bCs/>
          <w:color w:val="595959" w:themeColor="text1" w:themeTint="A6"/>
          <w:sz w:val="28"/>
          <w:szCs w:val="32"/>
        </w:rPr>
      </w:pPr>
      <w:r w:rsidRPr="00776543">
        <w:rPr>
          <w:rFonts w:ascii="Helvetica" w:hAnsi="Helvetica"/>
          <w:b/>
          <w:bCs/>
          <w:color w:val="595959" w:themeColor="text1" w:themeTint="A6"/>
          <w:sz w:val="28"/>
          <w:szCs w:val="32"/>
        </w:rPr>
        <w:t>1. Introduction</w:t>
      </w:r>
    </w:p>
    <w:p w14:paraId="210D4675" w14:textId="77777777" w:rsidR="0010401E" w:rsidRDefault="0010401E" w:rsidP="003F430A">
      <w:pPr>
        <w:jc w:val="both"/>
      </w:pPr>
      <w:r>
        <w:t xml:space="preserve">Over the past couple of years, the GDP growth rate has been falling, 2018(6.8%), 2019(4.2%) and was expected to be 4.6% percent in 2020. However, due to the imposed lockdown recent conservative estimates place the growth rate to be 1.8% while extreme estimates suggest that the growth rate might be in negative territory (for the first time since 1979). </w:t>
      </w:r>
    </w:p>
    <w:p w14:paraId="1554CAE0" w14:textId="77777777" w:rsidR="0010401E" w:rsidRDefault="0010401E" w:rsidP="003F430A">
      <w:pPr>
        <w:jc w:val="both"/>
      </w:pPr>
      <w:r>
        <w:t xml:space="preserve">Due to extreme contagious nature of the COVID-19 virus, the Government of India has had to implement several restrictions to curb the outbreak. The brunt of the economic consequences of the restrictions has been faced majorly by the aviation, tourism and hospitality sector. Since the lockdown allows only the essential sectors to continue to function, the spending of disposable income is expected to reduce drastically. The impact of this would be seen in the volume and amount of the several of methods of payments such as UPI, NEFT, RTGS and so on. </w:t>
      </w:r>
    </w:p>
    <w:p w14:paraId="6AD0E7F2" w14:textId="687A7038" w:rsidR="0010401E" w:rsidRDefault="0010401E" w:rsidP="003F430A">
      <w:pPr>
        <w:jc w:val="both"/>
      </w:pPr>
      <w:r>
        <w:t>This report presents the extent to which COVID-19 and the subsequent nationwide lockdown has impacted the financial transactions of the nation.</w:t>
      </w:r>
    </w:p>
    <w:p w14:paraId="3C2FFE38" w14:textId="77777777" w:rsidR="003F430A" w:rsidRDefault="003F430A" w:rsidP="003F430A">
      <w:pPr>
        <w:jc w:val="both"/>
      </w:pPr>
    </w:p>
    <w:p w14:paraId="6B5F2E84" w14:textId="77777777"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t>2. India’s COVID-19 situation</w:t>
      </w:r>
    </w:p>
    <w:p w14:paraId="771CAF62" w14:textId="37BB3739" w:rsidR="003F430A" w:rsidRDefault="0010401E" w:rsidP="00EF0C9B">
      <w:pPr>
        <w:jc w:val="both"/>
        <w:rPr>
          <w:rFonts w:ascii="Helvetica" w:eastAsia="Times New Roman" w:hAnsi="Helvetica" w:cs="Helvetica"/>
          <w:color w:val="000000"/>
          <w:sz w:val="21"/>
          <w:szCs w:val="21"/>
        </w:rPr>
      </w:pPr>
      <w:r>
        <w:t xml:space="preserve">The first case of COVID-19 was reported in January end. While the number of cases remained low in the month of February, the number of cases </w:t>
      </w:r>
      <w:r w:rsidR="003F430A">
        <w:t xml:space="preserve">started to rise </w:t>
      </w:r>
      <w:r>
        <w:t>in the month of March</w:t>
      </w:r>
      <w:r w:rsidR="003F430A">
        <w:t>,</w:t>
      </w:r>
      <w:r>
        <w:t xml:space="preserve"> which led the government to implement a nationwide lockdown in the country. The current </w:t>
      </w:r>
      <w:r w:rsidRPr="003F430A">
        <w:rPr>
          <w:highlight w:val="yellow"/>
        </w:rPr>
        <w:t>mortality rate</w:t>
      </w:r>
      <w:r>
        <w:t xml:space="preserve"> of COVID-19 in India stands at </w:t>
      </w:r>
      <w:r w:rsidR="000558B1">
        <w:t>2.82</w:t>
      </w:r>
      <w:r>
        <w:t xml:space="preserve">% while the </w:t>
      </w:r>
      <w:r w:rsidRPr="003F430A">
        <w:rPr>
          <w:highlight w:val="yellow"/>
        </w:rPr>
        <w:t>recovery rate</w:t>
      </w:r>
      <w:r>
        <w:t xml:space="preserve"> is at 4</w:t>
      </w:r>
      <w:r w:rsidR="000558B1">
        <w:t>7.97</w:t>
      </w:r>
      <w:r>
        <w:t>%. The number of new cases is constantly increasing as can be seen in the graphs below.</w:t>
      </w:r>
    </w:p>
    <w:p w14:paraId="348B4240" w14:textId="228149B3" w:rsidR="0010401E" w:rsidRDefault="0010401E" w:rsidP="003F430A">
      <w:pPr>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5366F4B1" wp14:editId="7C385B4E">
            <wp:extent cx="4892005" cy="2419350"/>
            <wp:effectExtent l="0" t="0" r="4445" b="0"/>
            <wp:docPr id="26" name="Picture 26" descr="C:\Users\Tushar\AppData\Local\Microsoft\Windows\INetCache\Content.MSO\888A3C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shar\AppData\Local\Microsoft\Windows\INetCache\Content.MSO\888A3C5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132" cy="2478264"/>
                    </a:xfrm>
                    <a:prstGeom prst="rect">
                      <a:avLst/>
                    </a:prstGeom>
                    <a:noFill/>
                    <a:ln>
                      <a:noFill/>
                    </a:ln>
                  </pic:spPr>
                </pic:pic>
              </a:graphicData>
            </a:graphic>
          </wp:inline>
        </w:drawing>
      </w:r>
    </w:p>
    <w:p w14:paraId="144AD756"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lastRenderedPageBreak/>
        <w:drawing>
          <wp:inline distT="0" distB="0" distL="0" distR="0" wp14:anchorId="177B8237" wp14:editId="2AF658A3">
            <wp:extent cx="5067300" cy="2506039"/>
            <wp:effectExtent l="0" t="0" r="0" b="8890"/>
            <wp:docPr id="25" name="Picture 25" descr="C:\Users\Tushar\AppData\Local\Microsoft\Windows\INetCache\Content.MSO\3287F6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shar\AppData\Local\Microsoft\Windows\INetCache\Content.MSO\3287F6D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165" cy="2511907"/>
                    </a:xfrm>
                    <a:prstGeom prst="rect">
                      <a:avLst/>
                    </a:prstGeom>
                    <a:noFill/>
                    <a:ln>
                      <a:noFill/>
                    </a:ln>
                  </pic:spPr>
                </pic:pic>
              </a:graphicData>
            </a:graphic>
          </wp:inline>
        </w:drawing>
      </w:r>
    </w:p>
    <w:p w14:paraId="1633AC1A" w14:textId="060AA8E9" w:rsidR="0010401E" w:rsidRPr="00E13B3F"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575E1B37" w14:textId="77777777" w:rsidR="0010401E" w:rsidRPr="00E13B3F"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10E702B1" wp14:editId="2FDC99B3">
            <wp:extent cx="5161649" cy="2552700"/>
            <wp:effectExtent l="0" t="0" r="1270" b="0"/>
            <wp:docPr id="24" name="Picture 24" descr="C:\Users\Tushar\AppData\Local\Microsoft\Windows\INetCache\Content.MSO\2B2326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shar\AppData\Local\Microsoft\Windows\INetCache\Content.MSO\2B23269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740" cy="2560163"/>
                    </a:xfrm>
                    <a:prstGeom prst="rect">
                      <a:avLst/>
                    </a:prstGeom>
                    <a:noFill/>
                    <a:ln>
                      <a:noFill/>
                    </a:ln>
                  </pic:spPr>
                </pic:pic>
              </a:graphicData>
            </a:graphic>
          </wp:inline>
        </w:drawing>
      </w:r>
    </w:p>
    <w:p w14:paraId="5046E88B" w14:textId="1C581AB8" w:rsidR="0010401E" w:rsidRPr="00E13B3F"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4B53F4FC" w14:textId="7B05B8B1" w:rsidR="0010401E"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6EEA553D"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bidi="hi-IN"/>
        </w:rPr>
        <w:drawing>
          <wp:inline distT="0" distB="0" distL="0" distR="0" wp14:anchorId="493B7832" wp14:editId="2BC90FD7">
            <wp:extent cx="5113655" cy="2528965"/>
            <wp:effectExtent l="0" t="0" r="0" b="5080"/>
            <wp:docPr id="22" name="Picture 22" descr="C:\Users\Tushar\AppData\Local\Microsoft\Windows\INetCache\Content.MSO\924DF3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shar\AppData\Local\Microsoft\Windows\INetCache\Content.MSO\924DF30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884" cy="2535013"/>
                    </a:xfrm>
                    <a:prstGeom prst="rect">
                      <a:avLst/>
                    </a:prstGeom>
                    <a:noFill/>
                    <a:ln>
                      <a:noFill/>
                    </a:ln>
                  </pic:spPr>
                </pic:pic>
              </a:graphicData>
            </a:graphic>
          </wp:inline>
        </w:drawing>
      </w:r>
    </w:p>
    <w:p w14:paraId="2ED5025E" w14:textId="77777777" w:rsidR="0010401E" w:rsidRDefault="0010401E" w:rsidP="003F430A">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3CC897B5" w14:textId="41932696"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lastRenderedPageBreak/>
        <w:t xml:space="preserve">3. Impact of COVID </w:t>
      </w:r>
      <w:r w:rsidR="00EF0C9B">
        <w:rPr>
          <w:rFonts w:ascii="Helvetica" w:hAnsi="Helvetica"/>
          <w:b/>
          <w:bCs/>
          <w:color w:val="595959" w:themeColor="text1" w:themeTint="A6"/>
          <w:sz w:val="28"/>
          <w:szCs w:val="28"/>
        </w:rPr>
        <w:t xml:space="preserve">related lockdown </w:t>
      </w:r>
      <w:r w:rsidRPr="00776543">
        <w:rPr>
          <w:rFonts w:ascii="Helvetica" w:hAnsi="Helvetica"/>
          <w:b/>
          <w:bCs/>
          <w:color w:val="595959" w:themeColor="text1" w:themeTint="A6"/>
          <w:sz w:val="28"/>
          <w:szCs w:val="28"/>
        </w:rPr>
        <w:t xml:space="preserve">on </w:t>
      </w:r>
      <w:r w:rsidR="00EF0C9B">
        <w:rPr>
          <w:rFonts w:ascii="Helvetica" w:hAnsi="Helvetica"/>
          <w:b/>
          <w:bCs/>
          <w:color w:val="595959" w:themeColor="text1" w:themeTint="A6"/>
          <w:sz w:val="28"/>
          <w:szCs w:val="28"/>
        </w:rPr>
        <w:t>country’s</w:t>
      </w:r>
      <w:r w:rsidRPr="00776543">
        <w:rPr>
          <w:rFonts w:ascii="Helvetica" w:hAnsi="Helvetica"/>
          <w:b/>
          <w:bCs/>
          <w:color w:val="595959" w:themeColor="text1" w:themeTint="A6"/>
          <w:sz w:val="28"/>
          <w:szCs w:val="28"/>
        </w:rPr>
        <w:t xml:space="preserve"> payment systems</w:t>
      </w:r>
    </w:p>
    <w:p w14:paraId="1B03FF12" w14:textId="77777777" w:rsidR="0062434F" w:rsidRDefault="0062434F" w:rsidP="003F430A">
      <w:pPr>
        <w:jc w:val="both"/>
        <w:rPr>
          <w:rFonts w:ascii="Helvetica" w:hAnsi="Helvetica"/>
          <w:b/>
          <w:bCs/>
          <w:color w:val="595959" w:themeColor="text1" w:themeTint="A6"/>
          <w:sz w:val="24"/>
          <w:szCs w:val="24"/>
        </w:rPr>
      </w:pPr>
    </w:p>
    <w:p w14:paraId="7670C022" w14:textId="4C6C037F" w:rsidR="0010401E" w:rsidRDefault="002D3899"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3.1. RTGS</w:t>
      </w:r>
    </w:p>
    <w:p w14:paraId="5E87E032" w14:textId="77777777" w:rsidR="0010401E" w:rsidRDefault="0010401E" w:rsidP="003F430A">
      <w:pPr>
        <w:jc w:val="both"/>
        <w:rPr>
          <w:rFonts w:cstheme="minorHAnsi"/>
          <w:color w:val="000000" w:themeColor="text1"/>
        </w:rPr>
      </w:pPr>
      <w:r>
        <w:rPr>
          <w:rFonts w:cstheme="minorHAnsi"/>
          <w:color w:val="000000" w:themeColor="text1"/>
        </w:rPr>
        <w:t>The Volume of transactions of RTGS has been varying from January 2019 until the month of February 2020, however, it fell by almost more than 10% in the month of March 2020. This drop may be attributed to the week-long nationwide lockdown as a precautionary measure against COVID-19 in the last week of the month of March.</w:t>
      </w:r>
    </w:p>
    <w:p w14:paraId="1DB0C425" w14:textId="77777777" w:rsidR="0010401E" w:rsidRDefault="0010401E" w:rsidP="003F430A">
      <w:pPr>
        <w:jc w:val="both"/>
        <w:rPr>
          <w:rFonts w:cstheme="minorHAnsi"/>
          <w:color w:val="000000" w:themeColor="text1"/>
        </w:rPr>
      </w:pPr>
      <w:r>
        <w:rPr>
          <w:rFonts w:cstheme="minorHAnsi"/>
          <w:color w:val="000000" w:themeColor="text1"/>
        </w:rPr>
        <w:t>A contrasting trend is observed in the amount of RTGS transactions. Since July 2019 there has been a downward trend in the amount of transactions for RTGS which could have been the result of the economic slowdown of India since the 2</w:t>
      </w:r>
      <w:r w:rsidRPr="005C3AE7">
        <w:rPr>
          <w:rFonts w:cstheme="minorHAnsi"/>
          <w:color w:val="000000" w:themeColor="text1"/>
          <w:vertAlign w:val="superscript"/>
        </w:rPr>
        <w:t>nd</w:t>
      </w:r>
      <w:r>
        <w:rPr>
          <w:rFonts w:cstheme="minorHAnsi"/>
          <w:color w:val="000000" w:themeColor="text1"/>
        </w:rPr>
        <w:t xml:space="preserve"> quarter of the current fiscal year (2019-20).</w:t>
      </w:r>
    </w:p>
    <w:p w14:paraId="66CEED23" w14:textId="38C7CA98" w:rsidR="002D3899" w:rsidRPr="00776543" w:rsidRDefault="002D3899" w:rsidP="002D3899">
      <w:pPr>
        <w:jc w:val="center"/>
        <w:rPr>
          <w:rFonts w:cstheme="minorHAnsi"/>
          <w:color w:val="000000" w:themeColor="text1"/>
        </w:rPr>
      </w:pPr>
      <w:r w:rsidRPr="002D3899">
        <w:rPr>
          <w:rFonts w:cstheme="minorHAnsi"/>
          <w:noProof/>
          <w:color w:val="000000" w:themeColor="text1"/>
          <w:lang w:val="en-IN" w:eastAsia="en-IN" w:bidi="hi-IN"/>
        </w:rPr>
        <w:drawing>
          <wp:inline distT="0" distB="0" distL="0" distR="0" wp14:anchorId="530580D0" wp14:editId="37324F4D">
            <wp:extent cx="4883135" cy="2859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5024" cy="2866541"/>
                    </a:xfrm>
                    <a:prstGeom prst="rect">
                      <a:avLst/>
                    </a:prstGeom>
                    <a:noFill/>
                    <a:ln>
                      <a:noFill/>
                    </a:ln>
                  </pic:spPr>
                </pic:pic>
              </a:graphicData>
            </a:graphic>
          </wp:inline>
        </w:drawing>
      </w:r>
    </w:p>
    <w:p w14:paraId="21617B16" w14:textId="3E00B781" w:rsidR="0010401E" w:rsidRDefault="009C704E" w:rsidP="0062434F">
      <w:pPr>
        <w:jc w:val="center"/>
        <w:rPr>
          <w:noProof/>
        </w:rPr>
      </w:pPr>
      <w:r w:rsidRPr="009C704E">
        <w:rPr>
          <w:noProof/>
          <w:lang w:val="en-IN" w:eastAsia="en-IN" w:bidi="hi-IN"/>
        </w:rPr>
        <w:drawing>
          <wp:inline distT="0" distB="0" distL="0" distR="0" wp14:anchorId="280652EB" wp14:editId="087AD0D8">
            <wp:extent cx="4833019" cy="284295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3881" cy="2849341"/>
                    </a:xfrm>
                    <a:prstGeom prst="rect">
                      <a:avLst/>
                    </a:prstGeom>
                    <a:noFill/>
                    <a:ln>
                      <a:noFill/>
                    </a:ln>
                  </pic:spPr>
                </pic:pic>
              </a:graphicData>
            </a:graphic>
          </wp:inline>
        </w:drawing>
      </w:r>
    </w:p>
    <w:p w14:paraId="457F5C78" w14:textId="77777777" w:rsidR="0010401E" w:rsidRPr="00776543" w:rsidRDefault="0010401E" w:rsidP="003F430A">
      <w:pPr>
        <w:jc w:val="both"/>
        <w:rPr>
          <w:rFonts w:ascii="Helvetica" w:hAnsi="Helvetica"/>
          <w:b/>
          <w:bCs/>
          <w:color w:val="595959" w:themeColor="text1" w:themeTint="A6"/>
          <w:sz w:val="24"/>
          <w:szCs w:val="24"/>
        </w:rPr>
      </w:pPr>
    </w:p>
    <w:p w14:paraId="420B384B" w14:textId="77777777" w:rsidR="0010401E" w:rsidRDefault="0010401E" w:rsidP="003F430A">
      <w:pPr>
        <w:jc w:val="both"/>
        <w:rPr>
          <w:rFonts w:cstheme="minorHAnsi"/>
          <w:color w:val="000000" w:themeColor="text1"/>
        </w:rPr>
      </w:pPr>
      <w:r w:rsidRPr="00776543">
        <w:rPr>
          <w:rFonts w:ascii="Helvetica" w:hAnsi="Helvetica"/>
          <w:b/>
          <w:bCs/>
          <w:color w:val="595959" w:themeColor="text1" w:themeTint="A6"/>
          <w:sz w:val="24"/>
          <w:szCs w:val="24"/>
        </w:rPr>
        <w:t>3.2. NEFT</w:t>
      </w:r>
    </w:p>
    <w:p w14:paraId="437B60C6" w14:textId="77777777" w:rsidR="0010401E" w:rsidRDefault="0010401E" w:rsidP="003F430A">
      <w:pPr>
        <w:jc w:val="both"/>
        <w:rPr>
          <w:rFonts w:cstheme="minorHAnsi"/>
          <w:color w:val="000000" w:themeColor="text1"/>
        </w:rPr>
      </w:pPr>
      <w:r>
        <w:rPr>
          <w:rFonts w:cstheme="minorHAnsi"/>
          <w:color w:val="000000" w:themeColor="text1"/>
        </w:rPr>
        <w:t>A continuous upward trend has been observed in the volume of NEFT transactions since January 2019 and it is seen that there has been no impact of the lockdown in the month of March on the volume of transactions.</w:t>
      </w:r>
    </w:p>
    <w:p w14:paraId="6F3C695D" w14:textId="77777777" w:rsidR="0010401E" w:rsidRDefault="0010401E" w:rsidP="003F430A">
      <w:pPr>
        <w:jc w:val="both"/>
        <w:rPr>
          <w:rFonts w:cstheme="minorHAnsi"/>
          <w:color w:val="000000" w:themeColor="text1"/>
        </w:rPr>
      </w:pPr>
      <w:r>
        <w:rPr>
          <w:rFonts w:cstheme="minorHAnsi"/>
          <w:color w:val="000000" w:themeColor="text1"/>
        </w:rPr>
        <w:t>A similar effect is observed in the amount of NEFT transactions, where the amount of transaction in March 2020 experienced an almost 22% increase in the amount of NEFT transactions over February 2020.</w:t>
      </w:r>
    </w:p>
    <w:p w14:paraId="05988DBF" w14:textId="77777777" w:rsidR="0033620B" w:rsidRDefault="0033620B" w:rsidP="003F430A">
      <w:pPr>
        <w:jc w:val="both"/>
        <w:rPr>
          <w:rFonts w:cstheme="minorHAnsi"/>
          <w:color w:val="000000" w:themeColor="text1"/>
        </w:rPr>
      </w:pPr>
    </w:p>
    <w:p w14:paraId="0D41F87A" w14:textId="07C6B7CB" w:rsidR="002D3899" w:rsidRDefault="002D3899" w:rsidP="0033620B">
      <w:pPr>
        <w:jc w:val="center"/>
        <w:rPr>
          <w:rFonts w:cstheme="minorHAnsi"/>
          <w:color w:val="000000" w:themeColor="text1"/>
        </w:rPr>
      </w:pPr>
      <w:r w:rsidRPr="002D3899">
        <w:rPr>
          <w:rFonts w:cstheme="minorHAnsi"/>
          <w:noProof/>
          <w:color w:val="000000" w:themeColor="text1"/>
          <w:lang w:val="en-IN" w:eastAsia="en-IN" w:bidi="hi-IN"/>
        </w:rPr>
        <w:drawing>
          <wp:inline distT="0" distB="0" distL="0" distR="0" wp14:anchorId="522A3475" wp14:editId="25D56D16">
            <wp:extent cx="4857750" cy="283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57750" cy="2838450"/>
                    </a:xfrm>
                    <a:prstGeom prst="rect">
                      <a:avLst/>
                    </a:prstGeom>
                    <a:noFill/>
                    <a:ln>
                      <a:noFill/>
                    </a:ln>
                  </pic:spPr>
                </pic:pic>
              </a:graphicData>
            </a:graphic>
          </wp:inline>
        </w:drawing>
      </w:r>
    </w:p>
    <w:p w14:paraId="1120F994" w14:textId="3AFE3C9B" w:rsidR="0033620B" w:rsidRPr="005C3AE7" w:rsidRDefault="009C704E" w:rsidP="0033620B">
      <w:pPr>
        <w:jc w:val="center"/>
        <w:rPr>
          <w:rFonts w:cstheme="minorHAnsi"/>
          <w:color w:val="000000" w:themeColor="text1"/>
        </w:rPr>
      </w:pPr>
      <w:r w:rsidRPr="009C704E">
        <w:rPr>
          <w:rFonts w:cstheme="minorHAnsi"/>
          <w:noProof/>
          <w:color w:val="000000" w:themeColor="text1"/>
          <w:lang w:val="en-IN" w:eastAsia="en-IN" w:bidi="hi-IN"/>
        </w:rPr>
        <w:drawing>
          <wp:inline distT="0" distB="0" distL="0" distR="0" wp14:anchorId="53639B70" wp14:editId="6ABEF65D">
            <wp:extent cx="486727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7275" cy="2867025"/>
                    </a:xfrm>
                    <a:prstGeom prst="rect">
                      <a:avLst/>
                    </a:prstGeom>
                    <a:noFill/>
                    <a:ln>
                      <a:noFill/>
                    </a:ln>
                  </pic:spPr>
                </pic:pic>
              </a:graphicData>
            </a:graphic>
          </wp:inline>
        </w:drawing>
      </w:r>
    </w:p>
    <w:p w14:paraId="035D27F7" w14:textId="77777777" w:rsidR="0062434F" w:rsidRDefault="0062434F" w:rsidP="003F430A">
      <w:pPr>
        <w:jc w:val="both"/>
        <w:rPr>
          <w:rFonts w:ascii="Helvetica" w:hAnsi="Helvetica"/>
          <w:b/>
          <w:bCs/>
          <w:color w:val="595959" w:themeColor="text1" w:themeTint="A6"/>
          <w:sz w:val="24"/>
          <w:szCs w:val="24"/>
        </w:rPr>
      </w:pPr>
    </w:p>
    <w:p w14:paraId="6D90E9FF" w14:textId="77777777"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 xml:space="preserve">3.3. IMPS </w:t>
      </w:r>
    </w:p>
    <w:p w14:paraId="6B6DBCE4" w14:textId="77777777" w:rsidR="0010401E" w:rsidRDefault="0010401E" w:rsidP="003F430A">
      <w:pPr>
        <w:jc w:val="both"/>
        <w:rPr>
          <w:rFonts w:cstheme="minorHAnsi"/>
          <w:color w:val="000000" w:themeColor="text1"/>
        </w:rPr>
      </w:pPr>
      <w:r>
        <w:rPr>
          <w:rFonts w:cstheme="minorHAnsi"/>
          <w:color w:val="000000" w:themeColor="text1"/>
        </w:rPr>
        <w:t>A constant upward trend has been noticed in the volume of IMPS transactions; however, a downfall is experienced since the month of January. An 4.5% fall was experienced in the month of February, this drop was further accentuated in the months of March (12.47%) and April (43.54%).</w:t>
      </w:r>
    </w:p>
    <w:p w14:paraId="72555119" w14:textId="74A6093A" w:rsidR="0033620B" w:rsidRDefault="0010401E" w:rsidP="003F430A">
      <w:pPr>
        <w:jc w:val="both"/>
        <w:rPr>
          <w:rFonts w:cstheme="minorHAnsi"/>
          <w:color w:val="000000" w:themeColor="text1"/>
        </w:rPr>
      </w:pPr>
      <w:r>
        <w:rPr>
          <w:rFonts w:cstheme="minorHAnsi"/>
          <w:color w:val="000000" w:themeColor="text1"/>
        </w:rPr>
        <w:t>Similarly, the amount of IMPS transactions experienced an upward trend until January 2020 and then experienced drops in the months of February (1%), March (5.86%) and April (40%).</w:t>
      </w:r>
    </w:p>
    <w:p w14:paraId="66E42CB5" w14:textId="5DB144B7" w:rsidR="0033620B" w:rsidRDefault="0033620B" w:rsidP="0033620B">
      <w:pPr>
        <w:jc w:val="center"/>
        <w:rPr>
          <w:rFonts w:cstheme="minorHAnsi"/>
          <w:color w:val="000000" w:themeColor="text1"/>
        </w:rPr>
      </w:pPr>
      <w:r w:rsidRPr="0033620B">
        <w:rPr>
          <w:rFonts w:cstheme="minorHAnsi"/>
          <w:noProof/>
          <w:color w:val="000000" w:themeColor="text1"/>
          <w:lang w:val="en-IN" w:eastAsia="en-IN" w:bidi="hi-IN"/>
        </w:rPr>
        <w:drawing>
          <wp:inline distT="0" distB="0" distL="0" distR="0" wp14:anchorId="17575522" wp14:editId="79F0CB6E">
            <wp:extent cx="5115857" cy="297595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7642" cy="2976994"/>
                    </a:xfrm>
                    <a:prstGeom prst="rect">
                      <a:avLst/>
                    </a:prstGeom>
                    <a:noFill/>
                    <a:ln>
                      <a:noFill/>
                    </a:ln>
                  </pic:spPr>
                </pic:pic>
              </a:graphicData>
            </a:graphic>
          </wp:inline>
        </w:drawing>
      </w:r>
    </w:p>
    <w:p w14:paraId="1B39CEA8" w14:textId="2673684E" w:rsidR="0010401E" w:rsidRDefault="0033620B" w:rsidP="0062434F">
      <w:pPr>
        <w:jc w:val="center"/>
        <w:rPr>
          <w:rFonts w:ascii="Helvetica" w:hAnsi="Helvetica"/>
          <w:b/>
          <w:bCs/>
          <w:color w:val="595959" w:themeColor="text1" w:themeTint="A6"/>
          <w:sz w:val="24"/>
          <w:szCs w:val="24"/>
        </w:rPr>
      </w:pPr>
      <w:r w:rsidRPr="0033620B">
        <w:rPr>
          <w:rFonts w:ascii="Helvetica" w:hAnsi="Helvetica"/>
          <w:b/>
          <w:bCs/>
          <w:noProof/>
          <w:color w:val="595959" w:themeColor="text1" w:themeTint="A6"/>
          <w:sz w:val="24"/>
          <w:szCs w:val="24"/>
          <w:lang w:val="en-IN" w:eastAsia="en-IN" w:bidi="hi-IN"/>
        </w:rPr>
        <w:drawing>
          <wp:inline distT="0" distB="0" distL="0" distR="0" wp14:anchorId="13D52B09" wp14:editId="4706608E">
            <wp:extent cx="5053698" cy="2992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679" cy="2993755"/>
                    </a:xfrm>
                    <a:prstGeom prst="rect">
                      <a:avLst/>
                    </a:prstGeom>
                    <a:noFill/>
                    <a:ln>
                      <a:noFill/>
                    </a:ln>
                  </pic:spPr>
                </pic:pic>
              </a:graphicData>
            </a:graphic>
          </wp:inline>
        </w:drawing>
      </w:r>
    </w:p>
    <w:p w14:paraId="13B9CEC9" w14:textId="34753FE5" w:rsidR="0010401E" w:rsidRDefault="0010401E" w:rsidP="0062434F">
      <w:pPr>
        <w:jc w:val="center"/>
        <w:rPr>
          <w:rFonts w:ascii="Helvetica" w:hAnsi="Helvetica"/>
          <w:b/>
          <w:bCs/>
          <w:color w:val="595959" w:themeColor="text1" w:themeTint="A6"/>
          <w:sz w:val="24"/>
          <w:szCs w:val="24"/>
        </w:rPr>
      </w:pPr>
    </w:p>
    <w:p w14:paraId="5AB2FB0E" w14:textId="77777777" w:rsidR="009C704E" w:rsidRDefault="009C704E" w:rsidP="003F430A">
      <w:pPr>
        <w:jc w:val="both"/>
        <w:rPr>
          <w:rFonts w:ascii="Helvetica" w:hAnsi="Helvetica"/>
          <w:b/>
          <w:bCs/>
          <w:color w:val="595959" w:themeColor="text1" w:themeTint="A6"/>
          <w:sz w:val="24"/>
          <w:szCs w:val="24"/>
        </w:rPr>
      </w:pPr>
    </w:p>
    <w:p w14:paraId="5A3EC0FF" w14:textId="77777777"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 xml:space="preserve">3.4. UPI </w:t>
      </w:r>
    </w:p>
    <w:p w14:paraId="347ED785" w14:textId="77777777" w:rsidR="0010401E" w:rsidRDefault="0010401E" w:rsidP="003F430A">
      <w:pPr>
        <w:jc w:val="both"/>
        <w:rPr>
          <w:rFonts w:cstheme="minorHAnsi"/>
          <w:color w:val="000000" w:themeColor="text1"/>
        </w:rPr>
      </w:pPr>
      <w:r>
        <w:rPr>
          <w:rFonts w:cstheme="minorHAnsi"/>
          <w:color w:val="000000" w:themeColor="text1"/>
        </w:rPr>
        <w:t>Like the other payment methods, the volume of UPI transactions experienced a constant upward trend followed by a steep downfall in the months of March and April. A moderate 5.9% fall in March followed by a steep 19.8% downturn in the month of April.</w:t>
      </w:r>
    </w:p>
    <w:p w14:paraId="011EDDD7" w14:textId="77777777" w:rsidR="0010401E" w:rsidRPr="0047366F" w:rsidRDefault="0010401E" w:rsidP="003F430A">
      <w:pPr>
        <w:jc w:val="both"/>
        <w:rPr>
          <w:rFonts w:cstheme="minorHAnsi"/>
          <w:color w:val="000000" w:themeColor="text1"/>
        </w:rPr>
      </w:pPr>
      <w:r>
        <w:rPr>
          <w:rFonts w:cstheme="minorHAnsi"/>
          <w:color w:val="000000" w:themeColor="text1"/>
        </w:rPr>
        <w:t xml:space="preserve">Similarly, the amount of UPI transactions experienced </w:t>
      </w:r>
      <w:proofErr w:type="gramStart"/>
      <w:r>
        <w:rPr>
          <w:rFonts w:cstheme="minorHAnsi"/>
          <w:color w:val="000000" w:themeColor="text1"/>
        </w:rPr>
        <w:t>a</w:t>
      </w:r>
      <w:proofErr w:type="gramEnd"/>
      <w:r>
        <w:rPr>
          <w:rFonts w:cstheme="minorHAnsi"/>
          <w:color w:val="000000" w:themeColor="text1"/>
        </w:rPr>
        <w:t xml:space="preserve"> upward trend until February 2020 and then experienced drops in the months of March (7.2%) and April (26.7%).</w:t>
      </w:r>
    </w:p>
    <w:p w14:paraId="18313063" w14:textId="77777777" w:rsidR="0010401E" w:rsidRDefault="0010401E" w:rsidP="003F430A">
      <w:pPr>
        <w:jc w:val="both"/>
        <w:rPr>
          <w:rFonts w:ascii="Helvetica" w:hAnsi="Helvetica"/>
          <w:b/>
          <w:bCs/>
          <w:color w:val="595959" w:themeColor="text1" w:themeTint="A6"/>
          <w:sz w:val="24"/>
          <w:szCs w:val="24"/>
        </w:rPr>
      </w:pPr>
    </w:p>
    <w:p w14:paraId="321A110C"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43CA30F6" wp14:editId="3EC518D2">
            <wp:extent cx="4973955" cy="2569845"/>
            <wp:effectExtent l="0" t="0" r="17145" b="1905"/>
            <wp:docPr id="23" name="Chart 23">
              <a:extLst xmlns:a="http://schemas.openxmlformats.org/drawingml/2006/main">
                <a:ext uri="{FF2B5EF4-FFF2-40B4-BE49-F238E27FC236}">
                  <a16:creationId xmlns:a16="http://schemas.microsoft.com/office/drawing/2014/main" id="{00000000-0008-0000-02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D0CB87D" w14:textId="77777777" w:rsidR="0010401E" w:rsidRPr="00776543"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2A5606C2" wp14:editId="414E0B7B">
            <wp:extent cx="4973955" cy="2569845"/>
            <wp:effectExtent l="0" t="0" r="17145" b="1905"/>
            <wp:docPr id="27" name="Chart 27">
              <a:extLst xmlns:a="http://schemas.openxmlformats.org/drawingml/2006/main">
                <a:ext uri="{FF2B5EF4-FFF2-40B4-BE49-F238E27FC236}">
                  <a16:creationId xmlns:a16="http://schemas.microsoft.com/office/drawing/2014/main" id="{00000000-0008-0000-02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B9F804" w14:textId="73C3EDBD" w:rsidR="0010401E" w:rsidRDefault="0010401E" w:rsidP="003F430A">
      <w:pPr>
        <w:jc w:val="both"/>
        <w:rPr>
          <w:rFonts w:ascii="Helvetica" w:hAnsi="Helvetica"/>
          <w:b/>
          <w:bCs/>
          <w:color w:val="595959" w:themeColor="text1" w:themeTint="A6"/>
          <w:sz w:val="24"/>
          <w:szCs w:val="24"/>
        </w:rPr>
      </w:pPr>
    </w:p>
    <w:p w14:paraId="3ECE2E11" w14:textId="77777777" w:rsidR="0062434F" w:rsidRDefault="0062434F" w:rsidP="003F430A">
      <w:pPr>
        <w:jc w:val="both"/>
        <w:rPr>
          <w:rFonts w:ascii="Helvetica" w:hAnsi="Helvetica"/>
          <w:b/>
          <w:bCs/>
          <w:color w:val="595959" w:themeColor="text1" w:themeTint="A6"/>
          <w:sz w:val="24"/>
          <w:szCs w:val="24"/>
        </w:rPr>
      </w:pPr>
    </w:p>
    <w:p w14:paraId="06CA296F" w14:textId="77777777" w:rsidR="0062434F" w:rsidRDefault="0062434F" w:rsidP="003F430A">
      <w:pPr>
        <w:jc w:val="both"/>
        <w:rPr>
          <w:rFonts w:ascii="Helvetica" w:hAnsi="Helvetica"/>
          <w:b/>
          <w:bCs/>
          <w:color w:val="595959" w:themeColor="text1" w:themeTint="A6"/>
          <w:sz w:val="24"/>
          <w:szCs w:val="24"/>
        </w:rPr>
      </w:pPr>
    </w:p>
    <w:p w14:paraId="14A436FB" w14:textId="77777777" w:rsidR="0062434F" w:rsidRDefault="0062434F" w:rsidP="003F430A">
      <w:pPr>
        <w:jc w:val="both"/>
        <w:rPr>
          <w:rFonts w:ascii="Helvetica" w:hAnsi="Helvetica"/>
          <w:b/>
          <w:bCs/>
          <w:color w:val="595959" w:themeColor="text1" w:themeTint="A6"/>
          <w:sz w:val="24"/>
          <w:szCs w:val="24"/>
        </w:rPr>
      </w:pPr>
    </w:p>
    <w:p w14:paraId="366CA944" w14:textId="75CC75D4"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65DEBE06" w14:textId="77777777" w:rsidR="0010401E" w:rsidRDefault="0010401E" w:rsidP="003F430A">
      <w:pPr>
        <w:jc w:val="both"/>
        <w:rPr>
          <w:rFonts w:cstheme="minorHAnsi"/>
          <w:color w:val="000000" w:themeColor="text1"/>
        </w:rPr>
      </w:pPr>
      <w:r>
        <w:rPr>
          <w:rFonts w:cstheme="minorHAnsi"/>
          <w:color w:val="000000" w:themeColor="text1"/>
        </w:rPr>
        <w:t xml:space="preserve">The volume of Credit card usage at POS and the amount of Credit card usage at POS experienced a steep downfall in the month of March 2020 of 13.1% and 18.9% respectively. </w:t>
      </w:r>
    </w:p>
    <w:p w14:paraId="2D2CDD2D" w14:textId="3FD12F11" w:rsidR="0010401E" w:rsidRDefault="0010401E" w:rsidP="0062434F">
      <w:pPr>
        <w:jc w:val="center"/>
        <w:rPr>
          <w:rFonts w:ascii="Helvetica" w:hAnsi="Helvetica"/>
          <w:b/>
          <w:bCs/>
          <w:color w:val="595959" w:themeColor="text1" w:themeTint="A6"/>
          <w:sz w:val="24"/>
          <w:szCs w:val="24"/>
        </w:rPr>
      </w:pPr>
    </w:p>
    <w:p w14:paraId="2D2DC2FE" w14:textId="57076C20" w:rsidR="0010401E" w:rsidRDefault="0010401E" w:rsidP="0062434F">
      <w:pPr>
        <w:jc w:val="center"/>
        <w:rPr>
          <w:rFonts w:ascii="Helvetica" w:hAnsi="Helvetica"/>
          <w:b/>
          <w:bCs/>
          <w:color w:val="595959" w:themeColor="text1" w:themeTint="A6"/>
          <w:sz w:val="24"/>
          <w:szCs w:val="24"/>
        </w:rPr>
      </w:pPr>
    </w:p>
    <w:p w14:paraId="4F9E543A"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C1C2019" wp14:editId="7E0821D7">
            <wp:extent cx="4969193" cy="2749868"/>
            <wp:effectExtent l="0" t="0" r="3175" b="12700"/>
            <wp:docPr id="32" name="Chart 32">
              <a:extLst xmlns:a="http://schemas.openxmlformats.org/drawingml/2006/main">
                <a:ext uri="{FF2B5EF4-FFF2-40B4-BE49-F238E27FC236}">
                  <a16:creationId xmlns:a16="http://schemas.microsoft.com/office/drawing/2014/main" id="{00000000-0008-0000-02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81219A1" w14:textId="77777777" w:rsidR="0010401E" w:rsidRPr="00776543"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9072F3E" wp14:editId="43AC13FF">
            <wp:extent cx="4969193" cy="2736533"/>
            <wp:effectExtent l="0" t="0" r="3175" b="6985"/>
            <wp:docPr id="4" name="Chart 4">
              <a:extLst xmlns:a="http://schemas.openxmlformats.org/drawingml/2006/main">
                <a:ext uri="{FF2B5EF4-FFF2-40B4-BE49-F238E27FC236}">
                  <a16:creationId xmlns:a16="http://schemas.microsoft.com/office/drawing/2014/main" id="{00000000-0008-0000-02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6E3D5CE" w14:textId="77777777" w:rsidR="0062434F" w:rsidRDefault="0062434F" w:rsidP="003F430A">
      <w:pPr>
        <w:jc w:val="both"/>
        <w:rPr>
          <w:rFonts w:ascii="Helvetica" w:hAnsi="Helvetica"/>
          <w:b/>
          <w:bCs/>
          <w:color w:val="595959" w:themeColor="text1" w:themeTint="A6"/>
          <w:sz w:val="24"/>
          <w:szCs w:val="24"/>
        </w:rPr>
      </w:pPr>
    </w:p>
    <w:p w14:paraId="7ADE02BD" w14:textId="77777777" w:rsidR="0062434F" w:rsidRDefault="0062434F" w:rsidP="003F430A">
      <w:pPr>
        <w:jc w:val="both"/>
        <w:rPr>
          <w:rFonts w:ascii="Helvetica" w:hAnsi="Helvetica"/>
          <w:b/>
          <w:bCs/>
          <w:color w:val="595959" w:themeColor="text1" w:themeTint="A6"/>
          <w:sz w:val="24"/>
          <w:szCs w:val="24"/>
        </w:rPr>
      </w:pPr>
    </w:p>
    <w:p w14:paraId="321BF869" w14:textId="77777777" w:rsidR="0062434F" w:rsidRDefault="0062434F" w:rsidP="003F430A">
      <w:pPr>
        <w:jc w:val="both"/>
        <w:rPr>
          <w:rFonts w:ascii="Helvetica" w:hAnsi="Helvetica"/>
          <w:b/>
          <w:bCs/>
          <w:color w:val="595959" w:themeColor="text1" w:themeTint="A6"/>
          <w:sz w:val="24"/>
          <w:szCs w:val="24"/>
        </w:rPr>
      </w:pPr>
    </w:p>
    <w:p w14:paraId="76158F69" w14:textId="77777777" w:rsidR="0062434F" w:rsidRDefault="0062434F" w:rsidP="003F430A">
      <w:pPr>
        <w:jc w:val="both"/>
        <w:rPr>
          <w:rFonts w:ascii="Helvetica" w:hAnsi="Helvetica"/>
          <w:b/>
          <w:bCs/>
          <w:color w:val="595959" w:themeColor="text1" w:themeTint="A6"/>
          <w:sz w:val="24"/>
          <w:szCs w:val="24"/>
        </w:rPr>
      </w:pPr>
    </w:p>
    <w:p w14:paraId="396DDFD3" w14:textId="75B75FD1"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47306D2E" w14:textId="77777777" w:rsidR="0010401E" w:rsidRDefault="0010401E" w:rsidP="003F430A">
      <w:pPr>
        <w:jc w:val="both"/>
        <w:rPr>
          <w:rFonts w:cstheme="minorHAnsi"/>
          <w:color w:val="000000" w:themeColor="text1"/>
        </w:rPr>
      </w:pPr>
      <w:r>
        <w:rPr>
          <w:rFonts w:cstheme="minorHAnsi"/>
          <w:color w:val="000000" w:themeColor="text1"/>
        </w:rPr>
        <w:t>The volume of transactions of Debit Cards at ATMs has remained relatively constant from January 2019 until October 2019 after which it has been in a downward trend. The volume fell by 12.2% in the month of March 2020. Similarly, the amount of transactions of Debit Cards at ATMs has suffered a 12.9% setback in March 2020.</w:t>
      </w:r>
    </w:p>
    <w:p w14:paraId="27D95B26" w14:textId="77777777" w:rsidR="0010401E" w:rsidRDefault="0010401E" w:rsidP="003F430A">
      <w:pPr>
        <w:jc w:val="both"/>
        <w:rPr>
          <w:rFonts w:cstheme="minorHAnsi"/>
          <w:color w:val="000000" w:themeColor="text1"/>
        </w:rPr>
      </w:pPr>
      <w:r>
        <w:rPr>
          <w:rFonts w:cstheme="minorHAnsi"/>
          <w:color w:val="000000" w:themeColor="text1"/>
        </w:rPr>
        <w:t>The volume of transactions of Debit Cards at POS has been increasing gradually until February 2020 and since then has been falling. The fall in February might be a result of a slowdown in economy while the 15.4% fall in March 2020 could have resulted from the lockdown. Similarly, the gradual growth of the amount of transactions of Debit Cards at POS has had a 17.7% fall in March 2020.</w:t>
      </w:r>
    </w:p>
    <w:p w14:paraId="588A87B0" w14:textId="77777777" w:rsidR="0010401E" w:rsidRDefault="0010401E" w:rsidP="003F430A">
      <w:pPr>
        <w:jc w:val="both"/>
        <w:rPr>
          <w:rFonts w:cstheme="minorHAnsi"/>
          <w:color w:val="000000" w:themeColor="text1"/>
        </w:rPr>
      </w:pPr>
    </w:p>
    <w:p w14:paraId="55843E55"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3B87F980" wp14:editId="6A7B7180">
            <wp:extent cx="4959668" cy="2738438"/>
            <wp:effectExtent l="0" t="0" r="12700" b="5080"/>
            <wp:docPr id="33" name="Chart 33">
              <a:extLst xmlns:a="http://schemas.openxmlformats.org/drawingml/2006/main">
                <a:ext uri="{FF2B5EF4-FFF2-40B4-BE49-F238E27FC236}">
                  <a16:creationId xmlns:a16="http://schemas.microsoft.com/office/drawing/2014/main" id="{00000000-0008-0000-02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D582316"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1CBE18B7" wp14:editId="43C6D675">
            <wp:extent cx="5023485" cy="2743201"/>
            <wp:effectExtent l="0" t="0" r="5715" b="0"/>
            <wp:docPr id="28" name="Chart 28">
              <a:extLst xmlns:a="http://schemas.openxmlformats.org/drawingml/2006/main">
                <a:ext uri="{FF2B5EF4-FFF2-40B4-BE49-F238E27FC236}">
                  <a16:creationId xmlns:a16="http://schemas.microsoft.com/office/drawing/2014/main" id="{00000000-0008-0000-02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946E586"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lastRenderedPageBreak/>
        <w:drawing>
          <wp:inline distT="0" distB="0" distL="0" distR="0" wp14:anchorId="3E1E2643" wp14:editId="25AEB76D">
            <wp:extent cx="4959668" cy="2746058"/>
            <wp:effectExtent l="0" t="0" r="12700" b="16510"/>
            <wp:docPr id="34" name="Chart 34">
              <a:extLst xmlns:a="http://schemas.openxmlformats.org/drawingml/2006/main">
                <a:ext uri="{FF2B5EF4-FFF2-40B4-BE49-F238E27FC236}">
                  <a16:creationId xmlns:a16="http://schemas.microsoft.com/office/drawing/2014/main" id="{00000000-0008-0000-02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FE01A0D"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3ABF9755" wp14:editId="631D5D56">
            <wp:extent cx="5017770" cy="2743201"/>
            <wp:effectExtent l="0" t="0" r="11430" b="0"/>
            <wp:docPr id="29" name="Chart 29">
              <a:extLst xmlns:a="http://schemas.openxmlformats.org/drawingml/2006/main">
                <a:ext uri="{FF2B5EF4-FFF2-40B4-BE49-F238E27FC236}">
                  <a16:creationId xmlns:a16="http://schemas.microsoft.com/office/drawing/2014/main" id="{00000000-0008-0000-02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42BA2FC" w14:textId="77777777" w:rsidR="0062434F" w:rsidRDefault="0062434F" w:rsidP="003F430A">
      <w:pPr>
        <w:jc w:val="both"/>
        <w:rPr>
          <w:rFonts w:ascii="Helvetica" w:hAnsi="Helvetica"/>
          <w:b/>
          <w:bCs/>
          <w:color w:val="595959" w:themeColor="text1" w:themeTint="A6"/>
          <w:sz w:val="24"/>
          <w:szCs w:val="24"/>
        </w:rPr>
      </w:pPr>
    </w:p>
    <w:p w14:paraId="6ABD52A9" w14:textId="77777777" w:rsidR="0062434F" w:rsidRDefault="0062434F" w:rsidP="003F430A">
      <w:pPr>
        <w:jc w:val="both"/>
        <w:rPr>
          <w:rFonts w:ascii="Helvetica" w:hAnsi="Helvetica"/>
          <w:b/>
          <w:bCs/>
          <w:color w:val="595959" w:themeColor="text1" w:themeTint="A6"/>
          <w:sz w:val="24"/>
          <w:szCs w:val="24"/>
        </w:rPr>
      </w:pPr>
    </w:p>
    <w:p w14:paraId="7C1915E0" w14:textId="77777777" w:rsidR="0062434F" w:rsidRDefault="0062434F" w:rsidP="003F430A">
      <w:pPr>
        <w:jc w:val="both"/>
        <w:rPr>
          <w:rFonts w:ascii="Helvetica" w:hAnsi="Helvetica"/>
          <w:b/>
          <w:bCs/>
          <w:color w:val="595959" w:themeColor="text1" w:themeTint="A6"/>
          <w:sz w:val="24"/>
          <w:szCs w:val="24"/>
        </w:rPr>
      </w:pPr>
    </w:p>
    <w:p w14:paraId="69693592" w14:textId="77777777" w:rsidR="0062434F" w:rsidRDefault="0062434F" w:rsidP="003F430A">
      <w:pPr>
        <w:jc w:val="both"/>
        <w:rPr>
          <w:rFonts w:ascii="Helvetica" w:hAnsi="Helvetica"/>
          <w:b/>
          <w:bCs/>
          <w:color w:val="595959" w:themeColor="text1" w:themeTint="A6"/>
          <w:sz w:val="24"/>
          <w:szCs w:val="24"/>
        </w:rPr>
      </w:pPr>
    </w:p>
    <w:p w14:paraId="04392458" w14:textId="77777777" w:rsidR="0062434F" w:rsidRDefault="0062434F" w:rsidP="003F430A">
      <w:pPr>
        <w:jc w:val="both"/>
        <w:rPr>
          <w:rFonts w:ascii="Helvetica" w:hAnsi="Helvetica"/>
          <w:b/>
          <w:bCs/>
          <w:color w:val="595959" w:themeColor="text1" w:themeTint="A6"/>
          <w:sz w:val="24"/>
          <w:szCs w:val="24"/>
        </w:rPr>
      </w:pPr>
    </w:p>
    <w:p w14:paraId="1F33F294" w14:textId="77777777" w:rsidR="0062434F" w:rsidRDefault="0062434F" w:rsidP="003F430A">
      <w:pPr>
        <w:jc w:val="both"/>
        <w:rPr>
          <w:rFonts w:ascii="Helvetica" w:hAnsi="Helvetica"/>
          <w:b/>
          <w:bCs/>
          <w:color w:val="595959" w:themeColor="text1" w:themeTint="A6"/>
          <w:sz w:val="24"/>
          <w:szCs w:val="24"/>
        </w:rPr>
      </w:pPr>
    </w:p>
    <w:p w14:paraId="26EDCA7E" w14:textId="77777777" w:rsidR="0062434F" w:rsidRDefault="0062434F" w:rsidP="003F430A">
      <w:pPr>
        <w:jc w:val="both"/>
        <w:rPr>
          <w:rFonts w:ascii="Helvetica" w:hAnsi="Helvetica"/>
          <w:b/>
          <w:bCs/>
          <w:color w:val="595959" w:themeColor="text1" w:themeTint="A6"/>
          <w:sz w:val="24"/>
          <w:szCs w:val="24"/>
        </w:rPr>
      </w:pPr>
    </w:p>
    <w:p w14:paraId="0B7E1C7E" w14:textId="77777777" w:rsidR="0062434F" w:rsidRDefault="0062434F" w:rsidP="003F430A">
      <w:pPr>
        <w:jc w:val="both"/>
        <w:rPr>
          <w:rFonts w:ascii="Helvetica" w:hAnsi="Helvetica"/>
          <w:b/>
          <w:bCs/>
          <w:color w:val="595959" w:themeColor="text1" w:themeTint="A6"/>
          <w:sz w:val="24"/>
          <w:szCs w:val="24"/>
        </w:rPr>
      </w:pPr>
    </w:p>
    <w:p w14:paraId="13542C6F" w14:textId="09A06E8A"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1F394B49" w14:textId="7777777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The volatile trend in the volume of PPI wallets transactions has been marked with a 15.9% decrease in the month of March 2020 which could be attributed to the lockdown due to COVID-19. Similarly, the amount of PPI wallets transactions fell by 9.33% in March 2020.</w:t>
      </w:r>
    </w:p>
    <w:p w14:paraId="7409E265"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789294B0" wp14:editId="2A5F2C15">
            <wp:extent cx="4989195" cy="2924175"/>
            <wp:effectExtent l="0" t="0" r="1905" b="9525"/>
            <wp:docPr id="62" name="Chart 62">
              <a:extLst xmlns:a="http://schemas.openxmlformats.org/drawingml/2006/main">
                <a:ext uri="{FF2B5EF4-FFF2-40B4-BE49-F238E27FC236}">
                  <a16:creationId xmlns:a16="http://schemas.microsoft.com/office/drawing/2014/main" id="{00000000-0008-0000-02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3F2358" w14:textId="77777777" w:rsidR="0010401E" w:rsidRDefault="0010401E" w:rsidP="0062434F">
      <w:pPr>
        <w:jc w:val="center"/>
        <w:rPr>
          <w:rFonts w:ascii="Helvetica" w:hAnsi="Helvetica"/>
          <w:b/>
          <w:bCs/>
          <w:color w:val="595959" w:themeColor="text1" w:themeTint="A6"/>
          <w:sz w:val="24"/>
          <w:szCs w:val="24"/>
        </w:rPr>
      </w:pPr>
      <w:r>
        <w:rPr>
          <w:noProof/>
          <w:lang w:val="en-IN" w:eastAsia="en-IN" w:bidi="hi-IN"/>
        </w:rPr>
        <w:drawing>
          <wp:inline distT="0" distB="0" distL="0" distR="0" wp14:anchorId="202AFD1E" wp14:editId="2C3D396C">
            <wp:extent cx="4973955" cy="2926080"/>
            <wp:effectExtent l="0" t="0" r="17145" b="7620"/>
            <wp:docPr id="64" name="Chart 64">
              <a:extLst xmlns:a="http://schemas.openxmlformats.org/drawingml/2006/main">
                <a:ext uri="{FF2B5EF4-FFF2-40B4-BE49-F238E27FC236}">
                  <a16:creationId xmlns:a16="http://schemas.microsoft.com/office/drawing/2014/main" id="{00000000-0008-0000-02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017C3A7" w14:textId="77777777" w:rsidR="0062434F" w:rsidRDefault="0062434F" w:rsidP="003F430A">
      <w:pPr>
        <w:jc w:val="both"/>
        <w:rPr>
          <w:rFonts w:ascii="Helvetica" w:hAnsi="Helvetica"/>
          <w:b/>
          <w:bCs/>
          <w:color w:val="595959" w:themeColor="text1" w:themeTint="A6"/>
          <w:sz w:val="24"/>
          <w:szCs w:val="24"/>
        </w:rPr>
      </w:pPr>
    </w:p>
    <w:p w14:paraId="2AB981C9" w14:textId="77777777" w:rsidR="0062434F" w:rsidRDefault="0062434F" w:rsidP="003F430A">
      <w:pPr>
        <w:jc w:val="both"/>
        <w:rPr>
          <w:rFonts w:ascii="Helvetica" w:hAnsi="Helvetica"/>
          <w:b/>
          <w:bCs/>
          <w:color w:val="595959" w:themeColor="text1" w:themeTint="A6"/>
          <w:sz w:val="24"/>
          <w:szCs w:val="24"/>
        </w:rPr>
      </w:pPr>
    </w:p>
    <w:p w14:paraId="29B4C4A1" w14:textId="77777777" w:rsidR="0062434F" w:rsidRDefault="0062434F" w:rsidP="003F430A">
      <w:pPr>
        <w:jc w:val="both"/>
        <w:rPr>
          <w:rFonts w:ascii="Helvetica" w:hAnsi="Helvetica"/>
          <w:b/>
          <w:bCs/>
          <w:color w:val="595959" w:themeColor="text1" w:themeTint="A6"/>
          <w:sz w:val="24"/>
          <w:szCs w:val="24"/>
        </w:rPr>
      </w:pPr>
    </w:p>
    <w:p w14:paraId="16E815FA" w14:textId="77777777" w:rsidR="0062434F" w:rsidRDefault="0062434F" w:rsidP="003F430A">
      <w:pPr>
        <w:jc w:val="both"/>
        <w:rPr>
          <w:rFonts w:ascii="Helvetica" w:hAnsi="Helvetica"/>
          <w:b/>
          <w:bCs/>
          <w:color w:val="595959" w:themeColor="text1" w:themeTint="A6"/>
          <w:sz w:val="24"/>
          <w:szCs w:val="24"/>
        </w:rPr>
      </w:pPr>
    </w:p>
    <w:p w14:paraId="7A9B9BC0" w14:textId="3CB64624"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lastRenderedPageBreak/>
        <w:t>4. Impact of COVID on the</w:t>
      </w:r>
      <w:r w:rsidR="0062434F">
        <w:rPr>
          <w:rFonts w:ascii="Helvetica" w:hAnsi="Helvetica"/>
          <w:b/>
          <w:bCs/>
          <w:color w:val="595959" w:themeColor="text1" w:themeTint="A6"/>
          <w:sz w:val="28"/>
          <w:szCs w:val="28"/>
        </w:rPr>
        <w:t xml:space="preserve"> 7</w:t>
      </w:r>
      <w:r w:rsidRPr="00776543">
        <w:rPr>
          <w:rFonts w:ascii="Helvetica" w:hAnsi="Helvetica"/>
          <w:b/>
          <w:bCs/>
          <w:color w:val="595959" w:themeColor="text1" w:themeTint="A6"/>
          <w:sz w:val="28"/>
          <w:szCs w:val="28"/>
        </w:rPr>
        <w:t xml:space="preserve"> payment systems</w:t>
      </w:r>
    </w:p>
    <w:p w14:paraId="609FE837" w14:textId="77777777" w:rsidR="0062434F" w:rsidRDefault="0062434F" w:rsidP="003F430A">
      <w:pPr>
        <w:jc w:val="both"/>
        <w:rPr>
          <w:rFonts w:ascii="Helvetica" w:hAnsi="Helvetica"/>
          <w:b/>
          <w:bCs/>
          <w:color w:val="595959" w:themeColor="text1" w:themeTint="A6"/>
          <w:sz w:val="24"/>
          <w:szCs w:val="24"/>
        </w:rPr>
      </w:pPr>
    </w:p>
    <w:p w14:paraId="3EB300B9"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.1. RTGS</w:t>
      </w:r>
    </w:p>
    <w:p w14:paraId="742F894D" w14:textId="77777777" w:rsidR="0010401E" w:rsidRDefault="0010401E" w:rsidP="003F430A">
      <w:pPr>
        <w:jc w:val="both"/>
        <w:rPr>
          <w:rFonts w:ascii="Helvetica" w:hAnsi="Helvetica"/>
          <w:b/>
          <w:bCs/>
          <w:color w:val="595959" w:themeColor="text1" w:themeTint="A6"/>
          <w:sz w:val="24"/>
          <w:szCs w:val="24"/>
        </w:rPr>
      </w:pPr>
      <w:r>
        <w:rPr>
          <w:rFonts w:cstheme="minorHAnsi"/>
          <w:color w:val="000000" w:themeColor="text1"/>
        </w:rPr>
        <w:t>On comparing the MoM rate of change in the Volume of RTGS transactions, a clear effect of the COVID-19 lockdown can be observed. Whereas in March 2019, the change in the volume of transactions was an incredibly high 23.23%, the change in the volume of transactions for March 2020 was a negative 10.69%. This clearly shows the impact of the 1 week of lockdown in the month of March 2020.</w:t>
      </w:r>
    </w:p>
    <w:p w14:paraId="5EB355D8" w14:textId="7452FDAC" w:rsidR="0010401E" w:rsidRDefault="000A4C23"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12B3972B" wp14:editId="3B422A06">
            <wp:extent cx="2755900" cy="29813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20F11783" w14:textId="77777777" w:rsidR="0010401E" w:rsidRDefault="0010401E"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79F3EA71" wp14:editId="1D75F0BB">
            <wp:extent cx="4877435" cy="27559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7435" cy="2755900"/>
                    </a:xfrm>
                    <a:prstGeom prst="rect">
                      <a:avLst/>
                    </a:prstGeom>
                    <a:noFill/>
                  </pic:spPr>
                </pic:pic>
              </a:graphicData>
            </a:graphic>
          </wp:inline>
        </w:drawing>
      </w:r>
    </w:p>
    <w:p w14:paraId="5C1FC079"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The rate of change in the value of RTGS transactions in March 2020 remained at par with March 2019. The reason for this might be settling of overdue accounts due to the ending of the fiscal year.</w:t>
      </w:r>
    </w:p>
    <w:p w14:paraId="4927D186" w14:textId="4111C608" w:rsidR="0010401E" w:rsidRDefault="00D666E8"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51D6289E" wp14:editId="3E1EDD04">
            <wp:extent cx="2755900" cy="298132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179DED48" w14:textId="77777777" w:rsidR="0010401E" w:rsidRDefault="0010401E" w:rsidP="00B23A67">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B728873" wp14:editId="53E9882E">
            <wp:extent cx="4889500" cy="2755900"/>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57153D12" w14:textId="77777777" w:rsidR="00DA785D" w:rsidRDefault="00DA785D" w:rsidP="003F430A">
      <w:pPr>
        <w:jc w:val="both"/>
        <w:rPr>
          <w:rFonts w:ascii="Helvetica" w:hAnsi="Helvetica"/>
          <w:b/>
          <w:bCs/>
          <w:color w:val="595959" w:themeColor="text1" w:themeTint="A6"/>
          <w:sz w:val="24"/>
          <w:szCs w:val="24"/>
        </w:rPr>
      </w:pPr>
    </w:p>
    <w:p w14:paraId="20A49057"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.2. NEFT</w:t>
      </w:r>
    </w:p>
    <w:p w14:paraId="64422163"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There has been a significant difference in the rate of change in the volume of NEFT transactions for the month of March. Since the financial year of India ends in March, usually there is a spike in the volume of transactions in March compared to February as businesses have to close out the financial year accounts. Thus, a high change in the rate of volume of transactions is expected.  March 2019 had a change of 20%, however, March 2020 only experienced a change of 5.64% which goes on to show the impact of COVID-19 </w:t>
      </w:r>
      <w:proofErr w:type="gramStart"/>
      <w:r>
        <w:rPr>
          <w:rFonts w:cstheme="minorHAnsi"/>
          <w:color w:val="000000" w:themeColor="text1"/>
        </w:rPr>
        <w:t>lockdown</w:t>
      </w:r>
      <w:proofErr w:type="gramEnd"/>
      <w:r>
        <w:rPr>
          <w:rFonts w:cstheme="minorHAnsi"/>
          <w:color w:val="000000" w:themeColor="text1"/>
        </w:rPr>
        <w:t xml:space="preserve">. Although the absolute amount of volume of transactions is higher in March 2020, relatively, it is lower than March 2019. </w:t>
      </w:r>
    </w:p>
    <w:p w14:paraId="5807AD41" w14:textId="77777777" w:rsidR="0010401E" w:rsidRDefault="0010401E" w:rsidP="003F430A">
      <w:pPr>
        <w:jc w:val="both"/>
        <w:rPr>
          <w:rFonts w:cstheme="minorHAnsi"/>
          <w:color w:val="000000" w:themeColor="text1"/>
        </w:rPr>
      </w:pPr>
    </w:p>
    <w:p w14:paraId="398E6BBC" w14:textId="39069D9A" w:rsidR="0010401E" w:rsidRDefault="005274AF"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5607ACF2" wp14:editId="57C4EEB6">
            <wp:extent cx="2755900" cy="29813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27C7CBF6"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26224C47" wp14:editId="0CD50DB9">
            <wp:extent cx="4877435" cy="27679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7435" cy="2767965"/>
                    </a:xfrm>
                    <a:prstGeom prst="rect">
                      <a:avLst/>
                    </a:prstGeom>
                    <a:noFill/>
                  </pic:spPr>
                </pic:pic>
              </a:graphicData>
            </a:graphic>
          </wp:inline>
        </w:drawing>
      </w:r>
    </w:p>
    <w:p w14:paraId="36E86CD7"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Similarly, there is a one-third difference in the rate of change in the value of NEFT transactions between March 2019 and March 2020 displaying the impact of the lockdown. Unlike the volume of the NEFT transactions, the absolute amount of NEFT transactions in March 2020 is lower than that of March 2019.</w:t>
      </w:r>
    </w:p>
    <w:p w14:paraId="0DA45118" w14:textId="6AD5A6C4" w:rsidR="0010401E" w:rsidRDefault="00680135"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7244C889" wp14:editId="7180875B">
            <wp:extent cx="2755900" cy="298132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73C7C927"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3E7D7B86" wp14:editId="6EF8A648">
            <wp:extent cx="4877435" cy="27559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7435" cy="2755900"/>
                    </a:xfrm>
                    <a:prstGeom prst="rect">
                      <a:avLst/>
                    </a:prstGeom>
                    <a:noFill/>
                  </pic:spPr>
                </pic:pic>
              </a:graphicData>
            </a:graphic>
          </wp:inline>
        </w:drawing>
      </w:r>
    </w:p>
    <w:p w14:paraId="64D4C39D" w14:textId="77777777" w:rsidR="00DA785D" w:rsidRDefault="00DA785D" w:rsidP="003F430A">
      <w:pPr>
        <w:jc w:val="both"/>
        <w:rPr>
          <w:rFonts w:ascii="Helvetica" w:hAnsi="Helvetica"/>
          <w:b/>
          <w:bCs/>
          <w:color w:val="595959" w:themeColor="text1" w:themeTint="A6"/>
          <w:sz w:val="24"/>
          <w:szCs w:val="24"/>
        </w:rPr>
      </w:pPr>
    </w:p>
    <w:p w14:paraId="527CC94A"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.3. IMPS </w:t>
      </w:r>
    </w:p>
    <w:p w14:paraId="1842F9EC"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The rate of change in the volume of IMPS transactions goes on to show how much COVID-19 has affected the payment systems in India. The considerable difference between the rate of changes of March-April 2019 and March-April 2020 explains the magnitude of the impact of COVID-19. Due to the drastic fall in the volume of IMPS transactions in March 2020 and April 2020, the volume of the transactions is lower in April 2020 than in April 2019. </w:t>
      </w:r>
    </w:p>
    <w:p w14:paraId="5C7A84A3" w14:textId="77777777" w:rsidR="0010401E" w:rsidRDefault="0010401E" w:rsidP="003F430A">
      <w:pPr>
        <w:jc w:val="both"/>
        <w:rPr>
          <w:rFonts w:ascii="Helvetica" w:hAnsi="Helvetica"/>
          <w:b/>
          <w:bCs/>
          <w:color w:val="595959" w:themeColor="text1" w:themeTint="A6"/>
          <w:sz w:val="24"/>
          <w:szCs w:val="24"/>
        </w:rPr>
      </w:pPr>
    </w:p>
    <w:p w14:paraId="633F3A01" w14:textId="0F3382B0" w:rsidR="0010401E" w:rsidRDefault="00285925"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267FC573" wp14:editId="5D332C33">
            <wp:extent cx="2755900" cy="29813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0BA11B92"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4E9ABECB" wp14:editId="21964358">
            <wp:extent cx="4877435" cy="27559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7435" cy="2755900"/>
                    </a:xfrm>
                    <a:prstGeom prst="rect">
                      <a:avLst/>
                    </a:prstGeom>
                    <a:noFill/>
                  </pic:spPr>
                </pic:pic>
              </a:graphicData>
            </a:graphic>
          </wp:inline>
        </w:drawing>
      </w:r>
    </w:p>
    <w:p w14:paraId="3EAB7666" w14:textId="77777777" w:rsidR="0010401E" w:rsidRDefault="0010401E" w:rsidP="003F430A">
      <w:pPr>
        <w:jc w:val="both"/>
        <w:rPr>
          <w:rFonts w:cstheme="minorHAnsi"/>
          <w:color w:val="000000" w:themeColor="text1"/>
        </w:rPr>
      </w:pPr>
      <w:r>
        <w:rPr>
          <w:rFonts w:cstheme="minorHAnsi"/>
          <w:color w:val="000000" w:themeColor="text1"/>
        </w:rPr>
        <w:t xml:space="preserve">The 40% fall in the value of IMPS transactions for April 2020 compared with a 4% fall for April 2019 has led to the situation where the value of the transactions is lower in April 2020 than in April 2019. </w:t>
      </w:r>
    </w:p>
    <w:p w14:paraId="52E9F009" w14:textId="150FC7E0" w:rsidR="0010401E" w:rsidRDefault="00285925"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7C178C9A" wp14:editId="0F499618">
            <wp:extent cx="2755900" cy="29813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73AA5FF5"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53016F3A" wp14:editId="7914D391">
            <wp:extent cx="4901565" cy="27559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1565" cy="2755900"/>
                    </a:xfrm>
                    <a:prstGeom prst="rect">
                      <a:avLst/>
                    </a:prstGeom>
                    <a:noFill/>
                  </pic:spPr>
                </pic:pic>
              </a:graphicData>
            </a:graphic>
          </wp:inline>
        </w:drawing>
      </w:r>
    </w:p>
    <w:p w14:paraId="51614356" w14:textId="77777777" w:rsidR="00DA785D" w:rsidRDefault="00DA785D" w:rsidP="003F430A">
      <w:pPr>
        <w:jc w:val="both"/>
        <w:rPr>
          <w:rFonts w:ascii="Helvetica" w:hAnsi="Helvetica"/>
          <w:b/>
          <w:bCs/>
          <w:color w:val="595959" w:themeColor="text1" w:themeTint="A6"/>
          <w:sz w:val="24"/>
          <w:szCs w:val="24"/>
        </w:rPr>
      </w:pPr>
    </w:p>
    <w:p w14:paraId="6A304046"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.4. UPI </w:t>
      </w:r>
    </w:p>
    <w:p w14:paraId="581EAA73" w14:textId="77777777"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Although the rate of change in the volume of UPI transactions in February 2020 was </w:t>
      </w:r>
      <w:proofErr w:type="gramStart"/>
      <w:r>
        <w:rPr>
          <w:rFonts w:cstheme="minorHAnsi"/>
          <w:color w:val="000000" w:themeColor="text1"/>
        </w:rPr>
        <w:t>similar to</w:t>
      </w:r>
      <w:proofErr w:type="gramEnd"/>
      <w:r>
        <w:rPr>
          <w:rFonts w:cstheme="minorHAnsi"/>
          <w:color w:val="000000" w:themeColor="text1"/>
        </w:rPr>
        <w:t xml:space="preserve"> that of February 2019, the values for March 2020 and April 2020 are poles apart from the values for March 2019 and April 2019. Although in January 2020 the volume of transactions was nearly the double of what it was in January 2019, the April 2020 figure stands at just 25% more than April 2019.</w:t>
      </w:r>
    </w:p>
    <w:p w14:paraId="2B7DE2A2" w14:textId="77777777" w:rsidR="0010401E" w:rsidRDefault="0010401E" w:rsidP="003F430A">
      <w:pPr>
        <w:jc w:val="both"/>
        <w:rPr>
          <w:rFonts w:ascii="Helvetica" w:hAnsi="Helvetica"/>
          <w:b/>
          <w:bCs/>
          <w:color w:val="595959" w:themeColor="text1" w:themeTint="A6"/>
          <w:sz w:val="24"/>
          <w:szCs w:val="24"/>
        </w:rPr>
      </w:pPr>
    </w:p>
    <w:p w14:paraId="176C2710" w14:textId="7C150221" w:rsidR="0010401E" w:rsidRDefault="00E3526D"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41B4F864" wp14:editId="1CD03F31">
            <wp:extent cx="2755900" cy="298132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2B234BDC"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0CDB5D2C" wp14:editId="56922026">
            <wp:extent cx="4889500" cy="2755900"/>
            <wp:effectExtent l="0" t="0" r="635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0421EF7F" w14:textId="77777777" w:rsidR="0010401E" w:rsidRDefault="0010401E" w:rsidP="003F430A">
      <w:pPr>
        <w:jc w:val="both"/>
        <w:rPr>
          <w:rFonts w:cstheme="minorHAnsi"/>
          <w:color w:val="000000" w:themeColor="text1"/>
        </w:rPr>
      </w:pPr>
      <w:r>
        <w:rPr>
          <w:rFonts w:cstheme="minorHAnsi"/>
          <w:color w:val="000000" w:themeColor="text1"/>
        </w:rPr>
        <w:t>The months of March 2019 and April 2019 had experienced positive change in the value of UPI transactions which led to a total of 33% increase in April 2019 from February 2019. However, both the months of March 2020 and April 2020 had experienced negative change in the value of UPI transactions which led to a total of 32% decrease in April 2019 from February 2019.</w:t>
      </w:r>
    </w:p>
    <w:p w14:paraId="24ED93EF" w14:textId="2F670CDE" w:rsidR="0010401E" w:rsidRDefault="00E3526D"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592D6438" wp14:editId="19F6E2CA">
            <wp:extent cx="2755900" cy="29813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49510586" w14:textId="77777777" w:rsidR="0010401E" w:rsidRDefault="0010401E"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0EC6B18A" wp14:editId="7795BA98">
            <wp:extent cx="4901565" cy="276796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565" cy="2767965"/>
                    </a:xfrm>
                    <a:prstGeom prst="rect">
                      <a:avLst/>
                    </a:prstGeom>
                    <a:noFill/>
                  </pic:spPr>
                </pic:pic>
              </a:graphicData>
            </a:graphic>
          </wp:inline>
        </w:drawing>
      </w:r>
    </w:p>
    <w:p w14:paraId="444DCD61" w14:textId="77777777" w:rsidR="0010401E" w:rsidRDefault="0010401E" w:rsidP="003F430A">
      <w:pPr>
        <w:jc w:val="both"/>
        <w:rPr>
          <w:rFonts w:ascii="Helvetica" w:hAnsi="Helvetica"/>
          <w:b/>
          <w:bCs/>
          <w:color w:val="595959" w:themeColor="text1" w:themeTint="A6"/>
          <w:sz w:val="24"/>
          <w:szCs w:val="24"/>
        </w:rPr>
      </w:pPr>
    </w:p>
    <w:p w14:paraId="0D45F4C0" w14:textId="14E46D2A"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020A0BC7" w14:textId="77777777" w:rsidR="00F049D4" w:rsidRDefault="00F049D4" w:rsidP="00F049D4">
      <w:pPr>
        <w:rPr>
          <w:rFonts w:cstheme="minorHAnsi"/>
          <w:color w:val="000000" w:themeColor="text1"/>
        </w:rPr>
      </w:pPr>
      <w:r>
        <w:rPr>
          <w:rFonts w:cstheme="minorHAnsi"/>
          <w:color w:val="000000" w:themeColor="text1"/>
        </w:rPr>
        <w:t>March 2020 experienced a decrease in the volume of Credit card usage at ATMs whereas, a positive change was observed in March 2019. Resultingly, the absolute amount of volume of usage at ATMs for March 2020 was lower than March 2019.</w:t>
      </w:r>
    </w:p>
    <w:p w14:paraId="1A3C9B2F" w14:textId="608606F4" w:rsidR="00E3526D" w:rsidRDefault="00E3526D" w:rsidP="003F430A">
      <w:pPr>
        <w:jc w:val="both"/>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3206AA72" wp14:editId="2BA35CCD">
            <wp:extent cx="2755900" cy="298132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10C59DE1" w14:textId="4E313719" w:rsidR="00F049D4" w:rsidRPr="00F049D4" w:rsidRDefault="00F049D4" w:rsidP="00F049D4">
      <w:pPr>
        <w:rPr>
          <w:rFonts w:cstheme="minorHAnsi"/>
          <w:color w:val="000000" w:themeColor="text1"/>
        </w:rPr>
      </w:pPr>
      <w:proofErr w:type="gramStart"/>
      <w:r>
        <w:rPr>
          <w:rFonts w:cstheme="minorHAnsi"/>
          <w:color w:val="000000" w:themeColor="text1"/>
        </w:rPr>
        <w:t>Similar to</w:t>
      </w:r>
      <w:proofErr w:type="gramEnd"/>
      <w:r>
        <w:rPr>
          <w:rFonts w:cstheme="minorHAnsi"/>
          <w:color w:val="000000" w:themeColor="text1"/>
        </w:rPr>
        <w:t xml:space="preserve"> the volume of Credit card usage at ATMs, the value of Credit Card usage at ATMs had fallen in March 2020 while it had risen in March 2019. Due to which the absolute amount of value of usage at ATMs for March 2020 was lower than March 2019.</w:t>
      </w:r>
      <w:bookmarkStart w:id="0" w:name="_GoBack"/>
      <w:bookmarkEnd w:id="0"/>
    </w:p>
    <w:p w14:paraId="1B342DCF" w14:textId="1DB4EA49" w:rsidR="00E3526D" w:rsidRDefault="00E3526D" w:rsidP="003F430A">
      <w:pPr>
        <w:jc w:val="both"/>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3BCA58C3" wp14:editId="66B7368F">
            <wp:extent cx="2755900" cy="2981325"/>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77B12194" w14:textId="77777777" w:rsidR="00A35273" w:rsidRDefault="00A35273" w:rsidP="003F430A">
      <w:pPr>
        <w:jc w:val="both"/>
        <w:rPr>
          <w:rFonts w:cstheme="minorHAnsi"/>
          <w:color w:val="000000" w:themeColor="text1"/>
        </w:rPr>
      </w:pPr>
    </w:p>
    <w:p w14:paraId="0C6DD0FC" w14:textId="77777777" w:rsidR="00A35273" w:rsidRDefault="00A35273" w:rsidP="003F430A">
      <w:pPr>
        <w:jc w:val="both"/>
        <w:rPr>
          <w:rFonts w:cstheme="minorHAnsi"/>
          <w:color w:val="000000" w:themeColor="text1"/>
        </w:rPr>
      </w:pPr>
    </w:p>
    <w:p w14:paraId="7F39DE52" w14:textId="77777777" w:rsidR="00A35273" w:rsidRDefault="00A35273" w:rsidP="003F430A">
      <w:pPr>
        <w:jc w:val="both"/>
        <w:rPr>
          <w:rFonts w:cstheme="minorHAnsi"/>
          <w:color w:val="000000" w:themeColor="text1"/>
        </w:rPr>
      </w:pPr>
    </w:p>
    <w:p w14:paraId="74E0E5C2" w14:textId="77777777" w:rsidR="00A35273" w:rsidRDefault="00A35273" w:rsidP="003F430A">
      <w:pPr>
        <w:jc w:val="both"/>
        <w:rPr>
          <w:rFonts w:cstheme="minorHAnsi"/>
          <w:color w:val="000000" w:themeColor="text1"/>
        </w:rPr>
      </w:pPr>
    </w:p>
    <w:p w14:paraId="5DD7BD60" w14:textId="77777777" w:rsidR="00A35273" w:rsidRDefault="00A35273" w:rsidP="003F430A">
      <w:pPr>
        <w:jc w:val="both"/>
        <w:rPr>
          <w:rFonts w:cstheme="minorHAnsi"/>
          <w:color w:val="000000" w:themeColor="text1"/>
        </w:rPr>
      </w:pPr>
    </w:p>
    <w:p w14:paraId="7B8D3959" w14:textId="77777777" w:rsidR="00A35273" w:rsidRDefault="00A35273" w:rsidP="003F430A">
      <w:pPr>
        <w:jc w:val="both"/>
        <w:rPr>
          <w:rFonts w:cstheme="minorHAnsi"/>
          <w:color w:val="000000" w:themeColor="text1"/>
        </w:rPr>
      </w:pPr>
    </w:p>
    <w:p w14:paraId="48E2A3F7" w14:textId="388904E3" w:rsidR="0010401E" w:rsidRDefault="0010401E" w:rsidP="003F430A">
      <w:pPr>
        <w:jc w:val="both"/>
        <w:rPr>
          <w:rFonts w:cstheme="minorHAnsi"/>
          <w:color w:val="000000" w:themeColor="text1"/>
        </w:rPr>
      </w:pPr>
      <w:r>
        <w:rPr>
          <w:rFonts w:cstheme="minorHAnsi"/>
          <w:color w:val="000000" w:themeColor="text1"/>
        </w:rPr>
        <w:t>On one hand there was a 14.91% increase in the volume of Credit card usage at PoS in March 2019, on the other hand there was a 13.1% decrease in the volume of usage in March 2020. The constant decrease in the volume of usage in 2020 has resulted in a situation where the values of March 2020 and March 2019 are almost similar.</w:t>
      </w:r>
    </w:p>
    <w:p w14:paraId="39B906B6" w14:textId="32C2EE31" w:rsidR="0010401E" w:rsidRDefault="00E3526D"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5E227037" wp14:editId="2CF449E0">
            <wp:extent cx="2755900" cy="298132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0A4345A5" w14:textId="77777777" w:rsidR="0010401E" w:rsidRDefault="0010401E"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6418DAA1" wp14:editId="28884FB2">
            <wp:extent cx="4867275" cy="2771775"/>
            <wp:effectExtent l="0" t="0" r="9525" b="9525"/>
            <wp:docPr id="75" name="Chart 75">
              <a:extLst xmlns:a="http://schemas.openxmlformats.org/drawingml/2006/main">
                <a:ext uri="{FF2B5EF4-FFF2-40B4-BE49-F238E27FC236}">
                  <a16:creationId xmlns:a16="http://schemas.microsoft.com/office/drawing/2014/main" id="{00000000-0008-0000-05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1D37008" w14:textId="2E349A17" w:rsidR="0010401E" w:rsidRDefault="0010401E" w:rsidP="003F430A">
      <w:pPr>
        <w:jc w:val="both"/>
        <w:rPr>
          <w:rFonts w:cstheme="minorHAnsi"/>
          <w:color w:val="000000" w:themeColor="text1"/>
        </w:rPr>
      </w:pPr>
      <w:r>
        <w:rPr>
          <w:rFonts w:cstheme="minorHAnsi"/>
          <w:color w:val="000000" w:themeColor="text1"/>
        </w:rPr>
        <w:t>The 18.9% increase in the value of Credit card usage at PoS in March 2019 and the 18.9% decrease in the volume of usage in March 2020 has resulted in the value of usage in March 2020 to be lower than that of March 2019.</w:t>
      </w:r>
    </w:p>
    <w:p w14:paraId="377DB960" w14:textId="77777777" w:rsidR="0010401E" w:rsidRDefault="0010401E" w:rsidP="003F430A">
      <w:pPr>
        <w:jc w:val="both"/>
        <w:rPr>
          <w:rFonts w:ascii="Helvetica" w:hAnsi="Helvetica"/>
          <w:b/>
          <w:bCs/>
          <w:color w:val="595959" w:themeColor="text1" w:themeTint="A6"/>
          <w:sz w:val="24"/>
          <w:szCs w:val="24"/>
        </w:rPr>
      </w:pPr>
    </w:p>
    <w:p w14:paraId="6D3D62E0" w14:textId="10F4A82C" w:rsidR="0010401E" w:rsidRDefault="00E3526D"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40AC4024" wp14:editId="1DD86057">
            <wp:extent cx="2755900" cy="29813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670724C2" w14:textId="77777777" w:rsidR="0010401E" w:rsidRDefault="0010401E"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116798F3" wp14:editId="4E636171">
            <wp:extent cx="4876800" cy="2743200"/>
            <wp:effectExtent l="0" t="0" r="0" b="0"/>
            <wp:docPr id="77" name="Chart 77">
              <a:extLst xmlns:a="http://schemas.openxmlformats.org/drawingml/2006/main">
                <a:ext uri="{FF2B5EF4-FFF2-40B4-BE49-F238E27FC236}">
                  <a16:creationId xmlns:a16="http://schemas.microsoft.com/office/drawing/2014/main" id="{00000000-0008-0000-05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B6B0D31" w14:textId="77777777" w:rsidR="00DA785D" w:rsidRDefault="00DA785D" w:rsidP="003F430A">
      <w:pPr>
        <w:jc w:val="both"/>
        <w:rPr>
          <w:rFonts w:ascii="Helvetica" w:hAnsi="Helvetica"/>
          <w:b/>
          <w:bCs/>
          <w:color w:val="595959" w:themeColor="text1" w:themeTint="A6"/>
          <w:sz w:val="24"/>
          <w:szCs w:val="24"/>
        </w:rPr>
      </w:pPr>
    </w:p>
    <w:p w14:paraId="57B098CE" w14:textId="6292B0D1"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309BBD43" w14:textId="0B991D5F" w:rsidR="00F9559D" w:rsidRDefault="00F9559D" w:rsidP="003F430A">
      <w:pPr>
        <w:jc w:val="both"/>
        <w:rPr>
          <w:rFonts w:cstheme="minorHAnsi"/>
          <w:color w:val="000000" w:themeColor="text1"/>
        </w:rPr>
      </w:pPr>
      <w:r>
        <w:rPr>
          <w:rFonts w:cstheme="minorHAnsi"/>
          <w:color w:val="000000" w:themeColor="text1"/>
        </w:rPr>
        <w:t xml:space="preserve">In the case of Debit Cards, the volume of transactions at both ATMs and POS are affected by COVID. On comparing the MoM rate of change in the volume of transactions at ATMs and POS, one can observe a high positive MoM rate of change in March 2019 (8.99% at ATMs and 17.63% at POS) but a high negative MoM rate of change in March 2020 (12.23% at ATMs and 15.47% at POS). </w:t>
      </w:r>
    </w:p>
    <w:p w14:paraId="221E0F78" w14:textId="224A2920" w:rsidR="0013501B" w:rsidRDefault="0013501B" w:rsidP="003F430A">
      <w:pPr>
        <w:jc w:val="both"/>
        <w:rPr>
          <w:rFonts w:cstheme="minorHAnsi"/>
          <w:color w:val="000000" w:themeColor="text1"/>
        </w:rPr>
      </w:pPr>
      <w:r>
        <w:rPr>
          <w:rFonts w:cstheme="minorHAnsi"/>
          <w:color w:val="000000" w:themeColor="text1"/>
        </w:rPr>
        <w:t>Volume of transactions at ATMs and POS this year has been higher than the previous year for the first 2 months. That is not the case in the month of March. The value of transactions has been less in March 2020 when compared to March 2019.There is a significant drop in the volume of transactions in March 2020 at ATMs.</w:t>
      </w:r>
    </w:p>
    <w:p w14:paraId="0C08698E" w14:textId="522D70DD" w:rsidR="00F9559D" w:rsidRDefault="00F9559D" w:rsidP="003F430A">
      <w:pPr>
        <w:jc w:val="both"/>
        <w:rPr>
          <w:rFonts w:cstheme="minorHAnsi"/>
          <w:color w:val="000000" w:themeColor="text1"/>
        </w:rPr>
      </w:pPr>
      <w:r>
        <w:rPr>
          <w:rFonts w:cstheme="minorHAnsi"/>
          <w:color w:val="000000" w:themeColor="text1"/>
        </w:rPr>
        <w:lastRenderedPageBreak/>
        <w:t>A similar trend can be observed in the MOM rate of change of the total value of transactions at both ATMs and POS. A high positive MoM rate of change in March 2019 (11.4% at ATMs and 16.9% at POS) but a high negative MoM rate of change in March 2020 (12.96% at ATMs and 17.63% at POS).</w:t>
      </w:r>
    </w:p>
    <w:p w14:paraId="344FAA13" w14:textId="4F404E89" w:rsidR="00F9559D" w:rsidRPr="00F9559D" w:rsidRDefault="0013501B" w:rsidP="003F430A">
      <w:pPr>
        <w:jc w:val="both"/>
        <w:rPr>
          <w:rFonts w:cstheme="minorHAnsi"/>
          <w:color w:val="000000" w:themeColor="text1"/>
        </w:rPr>
      </w:pPr>
      <w:r>
        <w:rPr>
          <w:rFonts w:cstheme="minorHAnsi"/>
          <w:color w:val="000000" w:themeColor="text1"/>
        </w:rPr>
        <w:t>Value of transactions at ATMs and POS this year has been higher than the previous year for the first 2 months. That is not the case in the month of March. The value of transactions has been less in March 2020 when compared to March 2019.</w:t>
      </w:r>
    </w:p>
    <w:p w14:paraId="1ABBFD10" w14:textId="77777777" w:rsidR="00EA1F0C" w:rsidRDefault="00EA1F0C" w:rsidP="003F430A">
      <w:pPr>
        <w:jc w:val="both"/>
        <w:rPr>
          <w:rFonts w:ascii="Helvetica" w:hAnsi="Helvetica"/>
          <w:b/>
          <w:bCs/>
          <w:color w:val="595959" w:themeColor="text1" w:themeTint="A6"/>
          <w:sz w:val="24"/>
          <w:szCs w:val="24"/>
        </w:rPr>
      </w:pPr>
    </w:p>
    <w:p w14:paraId="1BB2F838" w14:textId="6EAA7FBA" w:rsidR="000558B1" w:rsidRDefault="00A35273"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4F9E1443" wp14:editId="7D9F9881">
            <wp:extent cx="2755900" cy="29813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38E814F2" w14:textId="3BE94553" w:rsidR="00EA1F0C" w:rsidRDefault="00EA1F0C"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7F76925D" wp14:editId="02D9F3B3">
            <wp:extent cx="4867275" cy="2743200"/>
            <wp:effectExtent l="0" t="0" r="9525" b="0"/>
            <wp:docPr id="83" name="Chart 83">
              <a:extLst xmlns:a="http://schemas.openxmlformats.org/drawingml/2006/main">
                <a:ext uri="{FF2B5EF4-FFF2-40B4-BE49-F238E27FC236}">
                  <a16:creationId xmlns:a16="http://schemas.microsoft.com/office/drawing/2014/main" id="{00000000-0008-0000-05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0D7D960" w14:textId="77777777" w:rsidR="000558B1" w:rsidRDefault="000558B1" w:rsidP="003F430A">
      <w:pPr>
        <w:jc w:val="both"/>
        <w:rPr>
          <w:rFonts w:ascii="Helvetica" w:hAnsi="Helvetica"/>
          <w:b/>
          <w:bCs/>
          <w:color w:val="595959" w:themeColor="text1" w:themeTint="A6"/>
          <w:sz w:val="24"/>
          <w:szCs w:val="24"/>
        </w:rPr>
      </w:pPr>
    </w:p>
    <w:p w14:paraId="3761F9C0" w14:textId="77777777" w:rsidR="00EA1F0C" w:rsidRDefault="00EA1F0C" w:rsidP="003F430A">
      <w:pPr>
        <w:jc w:val="both"/>
        <w:rPr>
          <w:rFonts w:ascii="Helvetica" w:hAnsi="Helvetica"/>
          <w:b/>
          <w:bCs/>
          <w:color w:val="595959" w:themeColor="text1" w:themeTint="A6"/>
          <w:sz w:val="24"/>
          <w:szCs w:val="24"/>
        </w:rPr>
      </w:pPr>
    </w:p>
    <w:p w14:paraId="44B71989" w14:textId="77777777" w:rsidR="00EA1F0C" w:rsidRDefault="00EA1F0C" w:rsidP="003F430A">
      <w:pPr>
        <w:jc w:val="both"/>
        <w:rPr>
          <w:rFonts w:ascii="Helvetica" w:hAnsi="Helvetica"/>
          <w:b/>
          <w:bCs/>
          <w:color w:val="595959" w:themeColor="text1" w:themeTint="A6"/>
          <w:sz w:val="24"/>
          <w:szCs w:val="24"/>
        </w:rPr>
      </w:pPr>
    </w:p>
    <w:p w14:paraId="23BB24E6" w14:textId="1C6C017A" w:rsidR="000558B1" w:rsidRDefault="00A35273"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drawing>
          <wp:inline distT="0" distB="0" distL="0" distR="0" wp14:anchorId="27062B78" wp14:editId="072B1FB4">
            <wp:extent cx="2755900" cy="29813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171729FA" w14:textId="6EB214C3" w:rsidR="000558B1" w:rsidRDefault="00EA1F0C"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707FF57A" wp14:editId="77F92E9F">
            <wp:extent cx="4876800" cy="2762250"/>
            <wp:effectExtent l="0" t="0" r="0" b="0"/>
            <wp:docPr id="85" name="Chart 85">
              <a:extLst xmlns:a="http://schemas.openxmlformats.org/drawingml/2006/main">
                <a:ext uri="{FF2B5EF4-FFF2-40B4-BE49-F238E27FC236}">
                  <a16:creationId xmlns:a16="http://schemas.microsoft.com/office/drawing/2014/main" id="{00000000-0008-0000-05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BF847EF" w14:textId="5AB3E48F" w:rsidR="00EA1F0C" w:rsidRDefault="00A35273"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6A4C0EA6" wp14:editId="17FCDCEB">
            <wp:extent cx="2755900" cy="2981325"/>
            <wp:effectExtent l="0" t="0" r="635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1EEC6555" w14:textId="77777777" w:rsidR="00EA1F0C"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30ECC24C" wp14:editId="05E6A385">
            <wp:extent cx="4877435" cy="276796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77435" cy="2767965"/>
                    </a:xfrm>
                    <a:prstGeom prst="rect">
                      <a:avLst/>
                    </a:prstGeom>
                    <a:noFill/>
                  </pic:spPr>
                </pic:pic>
              </a:graphicData>
            </a:graphic>
          </wp:inline>
        </w:drawing>
      </w:r>
    </w:p>
    <w:p w14:paraId="643B452F" w14:textId="77777777" w:rsidR="00EA1F0C" w:rsidRDefault="00EA1F0C" w:rsidP="003F430A">
      <w:pPr>
        <w:jc w:val="both"/>
        <w:rPr>
          <w:rFonts w:ascii="Helvetica" w:hAnsi="Helvetica"/>
          <w:b/>
          <w:bCs/>
          <w:color w:val="595959" w:themeColor="text1" w:themeTint="A6"/>
          <w:sz w:val="24"/>
          <w:szCs w:val="24"/>
        </w:rPr>
      </w:pPr>
    </w:p>
    <w:p w14:paraId="3804A6C2" w14:textId="67B97A5E" w:rsidR="000558B1" w:rsidRDefault="00A35273"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22ACDE6A" wp14:editId="4E8F3A39">
            <wp:extent cx="2755900" cy="2981325"/>
            <wp:effectExtent l="0" t="0" r="635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50DA0BCB" w14:textId="257E3393" w:rsidR="00EA1F0C" w:rsidRDefault="00EA1F0C" w:rsidP="00DA785D">
      <w:pPr>
        <w:jc w:val="center"/>
        <w:rPr>
          <w:rFonts w:ascii="Helvetica" w:hAnsi="Helvetica"/>
          <w:b/>
          <w:bCs/>
          <w:color w:val="595959" w:themeColor="text1" w:themeTint="A6"/>
          <w:sz w:val="24"/>
          <w:szCs w:val="24"/>
        </w:rPr>
      </w:pPr>
      <w:r>
        <w:rPr>
          <w:noProof/>
          <w:lang w:val="en-IN" w:eastAsia="en-IN" w:bidi="hi-IN"/>
        </w:rPr>
        <w:drawing>
          <wp:inline distT="0" distB="0" distL="0" distR="0" wp14:anchorId="5D7E52FC" wp14:editId="5242704D">
            <wp:extent cx="4867275" cy="2752725"/>
            <wp:effectExtent l="0" t="0" r="9525" b="9525"/>
            <wp:docPr id="90" name="Chart 90">
              <a:extLst xmlns:a="http://schemas.openxmlformats.org/drawingml/2006/main">
                <a:ext uri="{FF2B5EF4-FFF2-40B4-BE49-F238E27FC236}">
                  <a16:creationId xmlns:a16="http://schemas.microsoft.com/office/drawing/2014/main" id="{00000000-0008-0000-05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8033DEA" w14:textId="77777777" w:rsidR="00EA1F0C" w:rsidRDefault="00EA1F0C" w:rsidP="003F430A">
      <w:pPr>
        <w:jc w:val="both"/>
        <w:rPr>
          <w:rFonts w:ascii="Helvetica" w:hAnsi="Helvetica"/>
          <w:b/>
          <w:bCs/>
          <w:color w:val="595959" w:themeColor="text1" w:themeTint="A6"/>
          <w:sz w:val="24"/>
          <w:szCs w:val="24"/>
        </w:rPr>
      </w:pPr>
    </w:p>
    <w:p w14:paraId="0F6B2BAD" w14:textId="0F17C1CD"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00DA785D">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55E44012" w14:textId="532007AC" w:rsidR="004004F6" w:rsidRDefault="004004F6" w:rsidP="003F430A">
      <w:pPr>
        <w:jc w:val="both"/>
        <w:rPr>
          <w:rFonts w:ascii="Helvetica" w:hAnsi="Helvetica"/>
          <w:b/>
          <w:bCs/>
          <w:color w:val="595959" w:themeColor="text1" w:themeTint="A6"/>
          <w:sz w:val="24"/>
          <w:szCs w:val="24"/>
        </w:rPr>
      </w:pPr>
      <w:r>
        <w:rPr>
          <w:rFonts w:cstheme="minorHAnsi"/>
          <w:color w:val="000000" w:themeColor="text1"/>
        </w:rPr>
        <w:t xml:space="preserve">On comparing the MoM rate of change in the Volume of Wallets transactions, a clear effect of the COVID-19 lockdown can be observed. Whereas in March 2019, the change in the volume of transactions was high 11.55%, the change in the volume of transactions for March 2020 was a negative 15.97%. </w:t>
      </w:r>
    </w:p>
    <w:p w14:paraId="40D37ED7" w14:textId="7AFA0713" w:rsidR="000558B1" w:rsidRDefault="00640B99"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512E6378" wp14:editId="051E6AF6">
            <wp:extent cx="2755900" cy="2981325"/>
            <wp:effectExtent l="0" t="0" r="635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6B6CC751" w14:textId="0CB5DDA4" w:rsidR="00EA1F0C"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3550E0AA" wp14:editId="7AC7A86E">
            <wp:extent cx="4889500" cy="2755900"/>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402D5FD9" w14:textId="3346DC56" w:rsidR="003C41E4" w:rsidRPr="004A68F3" w:rsidRDefault="003C41E4" w:rsidP="003F430A">
      <w:pPr>
        <w:jc w:val="both"/>
        <w:rPr>
          <w:rFonts w:ascii="Helvetica" w:hAnsi="Helvetica"/>
          <w:b/>
          <w:bCs/>
          <w:color w:val="595959" w:themeColor="text1" w:themeTint="A6"/>
          <w:sz w:val="24"/>
          <w:szCs w:val="24"/>
        </w:rPr>
      </w:pPr>
      <w:r>
        <w:rPr>
          <w:rFonts w:cstheme="minorHAnsi"/>
          <w:color w:val="000000" w:themeColor="text1"/>
        </w:rPr>
        <w:t xml:space="preserve">A similar trend can be seen in the MoM rate of change in the value of Wallets transactions as well. For the month of </w:t>
      </w:r>
      <w:proofErr w:type="gramStart"/>
      <w:r>
        <w:rPr>
          <w:rFonts w:cstheme="minorHAnsi"/>
          <w:color w:val="000000" w:themeColor="text1"/>
        </w:rPr>
        <w:t>March,</w:t>
      </w:r>
      <w:proofErr w:type="gramEnd"/>
      <w:r>
        <w:rPr>
          <w:rFonts w:cstheme="minorHAnsi"/>
          <w:color w:val="000000" w:themeColor="text1"/>
        </w:rPr>
        <w:t xml:space="preserve"> 2019 the rate of change was positive at 12.10% but in 2020 due COVID it is negative at 9.33%. A significant drop can be observed in the actual value of wallet transactions from March 2019 to March 2020. The change wasn’t as significant in the first two months of 2020.This reflects that COVID started affecting the transactions in March.</w:t>
      </w:r>
    </w:p>
    <w:p w14:paraId="4B95CD39" w14:textId="77777777" w:rsidR="00EA1F0C" w:rsidRDefault="00EA1F0C" w:rsidP="003F430A">
      <w:pPr>
        <w:jc w:val="both"/>
        <w:rPr>
          <w:rFonts w:ascii="Helvetica" w:hAnsi="Helvetica"/>
          <w:b/>
          <w:bCs/>
          <w:color w:val="595959" w:themeColor="text1" w:themeTint="A6"/>
          <w:sz w:val="24"/>
          <w:szCs w:val="24"/>
        </w:rPr>
      </w:pPr>
    </w:p>
    <w:p w14:paraId="758D52BC" w14:textId="0777B2B2" w:rsidR="000558B1" w:rsidRDefault="00640B99"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rPr>
        <w:lastRenderedPageBreak/>
        <w:drawing>
          <wp:inline distT="0" distB="0" distL="0" distR="0" wp14:anchorId="164E8F17" wp14:editId="0A089CE5">
            <wp:extent cx="2755900" cy="2981325"/>
            <wp:effectExtent l="0" t="0" r="635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5900" cy="2981325"/>
                    </a:xfrm>
                    <a:prstGeom prst="rect">
                      <a:avLst/>
                    </a:prstGeom>
                    <a:noFill/>
                  </pic:spPr>
                </pic:pic>
              </a:graphicData>
            </a:graphic>
          </wp:inline>
        </w:drawing>
      </w:r>
    </w:p>
    <w:p w14:paraId="63227502" w14:textId="3BEFAA7D" w:rsidR="000558B1" w:rsidRDefault="00EA1F0C" w:rsidP="00DA785D">
      <w:pPr>
        <w:jc w:val="center"/>
        <w:rPr>
          <w:rFonts w:ascii="Helvetica" w:hAnsi="Helvetica"/>
          <w:b/>
          <w:bCs/>
          <w:color w:val="595959" w:themeColor="text1" w:themeTint="A6"/>
          <w:sz w:val="24"/>
          <w:szCs w:val="24"/>
        </w:rPr>
      </w:pPr>
      <w:r>
        <w:rPr>
          <w:rFonts w:ascii="Helvetica" w:hAnsi="Helvetica"/>
          <w:b/>
          <w:bCs/>
          <w:noProof/>
          <w:color w:val="595959" w:themeColor="text1" w:themeTint="A6"/>
          <w:sz w:val="24"/>
          <w:szCs w:val="24"/>
          <w:lang w:val="en-IN" w:eastAsia="en-IN" w:bidi="hi-IN"/>
        </w:rPr>
        <w:drawing>
          <wp:inline distT="0" distB="0" distL="0" distR="0" wp14:anchorId="08167740" wp14:editId="60E98D84">
            <wp:extent cx="4889500" cy="27559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9500" cy="2755900"/>
                    </a:xfrm>
                    <a:prstGeom prst="rect">
                      <a:avLst/>
                    </a:prstGeom>
                    <a:noFill/>
                  </pic:spPr>
                </pic:pic>
              </a:graphicData>
            </a:graphic>
          </wp:inline>
        </w:drawing>
      </w:r>
    </w:p>
    <w:p w14:paraId="71D43F6F" w14:textId="77777777" w:rsidR="00A05A7B" w:rsidRDefault="00A05A7B" w:rsidP="003F430A">
      <w:pPr>
        <w:jc w:val="both"/>
        <w:rPr>
          <w:rFonts w:ascii="Helvetica" w:hAnsi="Helvetica"/>
          <w:b/>
          <w:bCs/>
          <w:color w:val="595959" w:themeColor="text1" w:themeTint="A6"/>
          <w:sz w:val="28"/>
          <w:szCs w:val="28"/>
        </w:rPr>
      </w:pPr>
    </w:p>
    <w:p w14:paraId="0BCFB056" w14:textId="235E0A74" w:rsidR="00BE222A" w:rsidRDefault="00822599" w:rsidP="003F430A">
      <w:pPr>
        <w:jc w:val="both"/>
        <w:rPr>
          <w:rFonts w:ascii="Helvetica" w:hAnsi="Helvetica"/>
          <w:b/>
          <w:bCs/>
          <w:color w:val="595959" w:themeColor="text1" w:themeTint="A6"/>
          <w:sz w:val="28"/>
          <w:szCs w:val="28"/>
        </w:rPr>
      </w:pPr>
      <w:r>
        <w:rPr>
          <w:rFonts w:ascii="Helvetica" w:hAnsi="Helvetica"/>
          <w:b/>
          <w:bCs/>
          <w:color w:val="595959" w:themeColor="text1" w:themeTint="A6"/>
          <w:sz w:val="28"/>
          <w:szCs w:val="28"/>
        </w:rPr>
        <w:t>5. State-wise NPA</w:t>
      </w:r>
      <w:r w:rsidR="00DE6303">
        <w:rPr>
          <w:rFonts w:ascii="Helvetica" w:hAnsi="Helvetica"/>
          <w:b/>
          <w:bCs/>
          <w:color w:val="595959" w:themeColor="text1" w:themeTint="A6"/>
          <w:sz w:val="28"/>
          <w:szCs w:val="28"/>
        </w:rPr>
        <w:t xml:space="preserve"> </w:t>
      </w:r>
    </w:p>
    <w:p w14:paraId="2E8960E5" w14:textId="6BA6B9FB" w:rsidR="005B33AC" w:rsidRPr="005B33AC" w:rsidRDefault="005B33AC" w:rsidP="003F430A">
      <w:pPr>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As </w:t>
      </w:r>
      <w:r w:rsidR="00A05A7B">
        <w:rPr>
          <w:rFonts w:eastAsia="Times New Roman" w:cstheme="minorHAnsi"/>
          <w:color w:val="000000"/>
          <w:szCs w:val="27"/>
          <w:lang w:val="en-IN" w:eastAsia="en-IN"/>
        </w:rPr>
        <w:t>discussed in the Introduction (S</w:t>
      </w:r>
      <w:r w:rsidRPr="005B33AC">
        <w:rPr>
          <w:rFonts w:eastAsia="Times New Roman" w:cstheme="minorHAnsi"/>
          <w:color w:val="000000"/>
          <w:szCs w:val="27"/>
          <w:lang w:val="en-IN" w:eastAsia="en-IN"/>
        </w:rPr>
        <w:t>ection 1), COVID has negatively impacted our economy. According to a survey by global advisory firm Willis Towers Watson, about 57 percent of organizations in India expect a moderate to large negative impact on their businesses in the next six months while 46 percent expect the effects of COVID-19 pandemic to last over 12 months. This will, in turn, affect the payment of loans in the next 6 to 12 months.</w:t>
      </w:r>
    </w:p>
    <w:p w14:paraId="21FEF780" w14:textId="77777777" w:rsidR="005B33AC" w:rsidRPr="005B33AC" w:rsidRDefault="005B33AC" w:rsidP="003F430A">
      <w:pPr>
        <w:spacing w:after="0" w:line="240" w:lineRule="auto"/>
        <w:jc w:val="both"/>
        <w:rPr>
          <w:rFonts w:eastAsia="Times New Roman" w:cstheme="minorHAnsi"/>
          <w:color w:val="000000"/>
          <w:szCs w:val="27"/>
          <w:lang w:val="en-IN" w:eastAsia="en-IN"/>
        </w:rPr>
      </w:pPr>
    </w:p>
    <w:p w14:paraId="3AE5C8FC"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In this section, we study which states would be relatively affected the most in terms of paying the loans, </w:t>
      </w:r>
      <w:proofErr w:type="gramStart"/>
      <w:r w:rsidRPr="005B33AC">
        <w:rPr>
          <w:rFonts w:eastAsia="Times New Roman" w:cstheme="minorHAnsi"/>
          <w:color w:val="000000"/>
          <w:szCs w:val="27"/>
          <w:lang w:val="en-IN" w:eastAsia="en-IN"/>
        </w:rPr>
        <w:t>taking into account</w:t>
      </w:r>
      <w:proofErr w:type="gramEnd"/>
      <w:r w:rsidRPr="005B33AC">
        <w:rPr>
          <w:rFonts w:eastAsia="Times New Roman" w:cstheme="minorHAnsi"/>
          <w:color w:val="000000"/>
          <w:szCs w:val="27"/>
          <w:lang w:val="en-IN" w:eastAsia="en-IN"/>
        </w:rPr>
        <w:t xml:space="preserve"> the factors like the current population of the state as well as the number of confirmed cases in that state. </w:t>
      </w:r>
    </w:p>
    <w:p w14:paraId="1BBEEE8D" w14:textId="7F458D43"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67570FAD" w14:textId="419BDC98"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We have taken 13 states - Maharashtra, Tamil Nadu, Delhi, Gujarat, Rajasthan, Madhya Pradesh, Uttar Pradesh, West Bengal, Andhra Pradesh, Bihar, Kerala, Telangana and Karnataka. These states, as of 4th June 2020, have 90 percent of the total confirmed COVID cases in India and accounted for </w:t>
      </w:r>
      <w:r w:rsidRPr="005B33AC">
        <w:rPr>
          <w:rFonts w:eastAsia="Times New Roman" w:cstheme="minorHAnsi"/>
          <w:color w:val="000000"/>
          <w:szCs w:val="27"/>
          <w:lang w:eastAsia="en-IN"/>
        </w:rPr>
        <w:t>87.12% of the total bank credit in the last quarter (2019-20: Q3)</w:t>
      </w:r>
      <w:r w:rsidRPr="005B33AC">
        <w:rPr>
          <w:rFonts w:eastAsia="Times New Roman" w:cstheme="minorHAnsi"/>
          <w:color w:val="000000"/>
          <w:szCs w:val="27"/>
          <w:lang w:val="en-IN" w:eastAsia="en-IN"/>
        </w:rPr>
        <w:t>.</w:t>
      </w:r>
    </w:p>
    <w:p w14:paraId="244FDAB3"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0B993D95" w14:textId="057BE4F5" w:rsid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r w:rsidRPr="005B33AC">
        <w:rPr>
          <w:rFonts w:ascii="Helvetica" w:eastAsia="Times New Roman" w:hAnsi="Helvetica" w:cs="Helvetica"/>
          <w:b/>
          <w:color w:val="595959" w:themeColor="text1" w:themeTint="A6"/>
          <w:sz w:val="27"/>
          <w:szCs w:val="27"/>
          <w:lang w:val="en-IN" w:eastAsia="en-IN"/>
        </w:rPr>
        <w:t>5.1 State-wise bank credit trend and prediction</w:t>
      </w:r>
      <w:r w:rsidR="00C25E9E">
        <w:rPr>
          <w:rFonts w:ascii="Helvetica" w:eastAsia="Times New Roman" w:hAnsi="Helvetica" w:cs="Helvetica"/>
          <w:b/>
          <w:color w:val="595959" w:themeColor="text1" w:themeTint="A6"/>
          <w:sz w:val="27"/>
          <w:szCs w:val="27"/>
          <w:lang w:val="en-IN" w:eastAsia="en-IN"/>
        </w:rPr>
        <w:t xml:space="preserve"> if there was no COVID</w:t>
      </w:r>
    </w:p>
    <w:p w14:paraId="6B17AC26" w14:textId="48520921" w:rsidR="005B33AC" w:rsidRP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p>
    <w:p w14:paraId="10DC304F" w14:textId="68AAF807"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 xml:space="preserve">The following graphs depict the trend for the last 11 quarters (2017-18: Q1 to 2019-20: Q3) as well as the predicted values for the next two quarters </w:t>
      </w:r>
      <w:r w:rsidR="00C25E9E">
        <w:rPr>
          <w:rFonts w:eastAsia="Times New Roman" w:cstheme="minorHAnsi"/>
          <w:szCs w:val="27"/>
          <w:lang w:val="en-IN" w:eastAsia="en-IN"/>
        </w:rPr>
        <w:t xml:space="preserve">if there was no COVID </w:t>
      </w:r>
      <w:r w:rsidRPr="005B33AC">
        <w:rPr>
          <w:rFonts w:eastAsia="Times New Roman" w:cstheme="minorHAnsi"/>
          <w:szCs w:val="27"/>
          <w:lang w:val="en-IN" w:eastAsia="en-IN"/>
        </w:rPr>
        <w:t>(2019-20: Q4 and 2020-21: Q1).</w:t>
      </w:r>
    </w:p>
    <w:p w14:paraId="10A164EA" w14:textId="77777777" w:rsidR="005B33AC" w:rsidRPr="005B33AC" w:rsidRDefault="005B33AC" w:rsidP="003F430A">
      <w:pPr>
        <w:shd w:val="clear" w:color="auto" w:fill="FFFFFF"/>
        <w:spacing w:after="0" w:line="240" w:lineRule="auto"/>
        <w:jc w:val="both"/>
        <w:rPr>
          <w:rFonts w:eastAsia="Times New Roman" w:cstheme="minorHAnsi"/>
          <w:sz w:val="20"/>
          <w:szCs w:val="24"/>
          <w:lang w:val="en-IN" w:eastAsia="en-IN"/>
        </w:rPr>
      </w:pPr>
    </w:p>
    <w:p w14:paraId="6A35FC7F" w14:textId="4E1DF56E"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The bank credit values for the next two quarters were estimated doing a simple time-series analysis on the previous 11 quarters.</w:t>
      </w:r>
    </w:p>
    <w:p w14:paraId="63B79C1D" w14:textId="5B4F830B" w:rsidR="000F1222" w:rsidRDefault="000F1222" w:rsidP="003F430A">
      <w:pPr>
        <w:shd w:val="clear" w:color="auto" w:fill="FFFFFF"/>
        <w:spacing w:after="0" w:line="240" w:lineRule="auto"/>
        <w:jc w:val="both"/>
        <w:rPr>
          <w:rFonts w:eastAsia="Times New Roman" w:cstheme="minorHAnsi"/>
          <w:szCs w:val="27"/>
          <w:lang w:val="en-IN" w:eastAsia="en-IN"/>
        </w:rPr>
      </w:pPr>
    </w:p>
    <w:p w14:paraId="0CFF682A" w14:textId="51B2A38B" w:rsidR="00C25E9E"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Pr="000F1222">
        <w:rPr>
          <w:rFonts w:ascii="Helvetica" w:eastAsia="Times New Roman" w:hAnsi="Helvetica" w:cs="Helvetica"/>
          <w:b/>
          <w:color w:val="595959" w:themeColor="text1" w:themeTint="A6"/>
          <w:sz w:val="25"/>
          <w:szCs w:val="27"/>
          <w:lang w:val="en-IN" w:eastAsia="en-IN"/>
        </w:rPr>
        <w:t>Maharashtra (35.09% of the total confirmed COVID cases in India)</w:t>
      </w:r>
    </w:p>
    <w:p w14:paraId="57E6B4B3" w14:textId="220CF486" w:rsidR="00C25E9E" w:rsidRDefault="00C25E9E"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 xml:space="preserve">Maharashtra has the highest number of </w:t>
      </w:r>
      <w:r w:rsidR="00994508">
        <w:rPr>
          <w:rFonts w:eastAsia="Times New Roman" w:cstheme="minorHAnsi"/>
          <w:szCs w:val="27"/>
          <w:lang w:val="en-IN" w:eastAsia="en-IN"/>
        </w:rPr>
        <w:t xml:space="preserve">confirmed COVID </w:t>
      </w:r>
      <w:r>
        <w:rPr>
          <w:rFonts w:eastAsia="Times New Roman" w:cstheme="minorHAnsi"/>
          <w:szCs w:val="27"/>
          <w:lang w:val="en-IN" w:eastAsia="en-IN"/>
        </w:rPr>
        <w:t xml:space="preserve">cases as well as the highest bank credit in all states. </w:t>
      </w:r>
    </w:p>
    <w:p w14:paraId="50DA1E85" w14:textId="05AF700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5.35 percent</w:t>
      </w:r>
      <w:r>
        <w:rPr>
          <w:rFonts w:eastAsia="Times New Roman" w:cstheme="minorHAnsi"/>
          <w:szCs w:val="27"/>
          <w:lang w:val="en-IN" w:eastAsia="en-IN"/>
        </w:rPr>
        <w:t xml:space="preserve"> and then slightly decreases in the first quarter of 2020-21 by 0.6 percent.</w:t>
      </w:r>
    </w:p>
    <w:p w14:paraId="41CE6C88" w14:textId="3EA3DDAA" w:rsidR="00C25E9E"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7456" behindDoc="0" locked="0" layoutInCell="1" allowOverlap="1" wp14:anchorId="52F88386" wp14:editId="2D05ED86">
            <wp:simplePos x="0" y="0"/>
            <wp:positionH relativeFrom="column">
              <wp:posOffset>809625</wp:posOffset>
            </wp:positionH>
            <wp:positionV relativeFrom="paragraph">
              <wp:posOffset>107950</wp:posOffset>
            </wp:positionV>
            <wp:extent cx="4299240" cy="2674794"/>
            <wp:effectExtent l="0" t="0" r="6350" b="11430"/>
            <wp:wrapNone/>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272679B8" w14:textId="08C9BEA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25F19B"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E953F" w14:textId="7927388E"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330879D"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C5943"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3F94F70"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E6924FA"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2BC4184"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2A55B9"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2275BEB" w14:textId="010BB1D6"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BAC171" w14:textId="31830806"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Tamil Nadu</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12.19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72458710" w14:textId="101C0413"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Tamil Nadu has the 2</w:t>
      </w:r>
      <w:r w:rsidRPr="00994508">
        <w:rPr>
          <w:rFonts w:eastAsia="Times New Roman" w:cstheme="minorHAnsi"/>
          <w:szCs w:val="27"/>
          <w:vertAlign w:val="superscript"/>
          <w:lang w:val="en-IN" w:eastAsia="en-IN"/>
        </w:rPr>
        <w:t>nd</w:t>
      </w:r>
      <w:r>
        <w:rPr>
          <w:rFonts w:eastAsia="Times New Roman" w:cstheme="minorHAnsi"/>
          <w:szCs w:val="27"/>
          <w:lang w:val="en-IN" w:eastAsia="en-IN"/>
        </w:rPr>
        <w:t xml:space="preserve"> highest number of confirmed COVID cases and ranks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bank credit wise. </w:t>
      </w:r>
    </w:p>
    <w:p w14:paraId="705B738F" w14:textId="3F3EEFE1"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690E55">
        <w:rPr>
          <w:rFonts w:eastAsia="Times New Roman" w:cstheme="minorHAnsi"/>
          <w:szCs w:val="27"/>
          <w:lang w:val="en-IN" w:eastAsia="en-IN"/>
        </w:rPr>
        <w:t xml:space="preserve">by 2.7 percent </w:t>
      </w:r>
      <w:r>
        <w:rPr>
          <w:rFonts w:eastAsia="Times New Roman" w:cstheme="minorHAnsi"/>
          <w:szCs w:val="27"/>
          <w:lang w:val="en-IN" w:eastAsia="en-IN"/>
        </w:rPr>
        <w:t>and then slightly increases in the first quarter of 2020-21 by 0.9 percent.</w:t>
      </w:r>
    </w:p>
    <w:p w14:paraId="69B291EF" w14:textId="521AA10E" w:rsidR="00A73F9B"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8480" behindDoc="0" locked="0" layoutInCell="1" allowOverlap="1" wp14:anchorId="0FAFF075" wp14:editId="6246F917">
            <wp:simplePos x="0" y="0"/>
            <wp:positionH relativeFrom="column">
              <wp:posOffset>809625</wp:posOffset>
            </wp:positionH>
            <wp:positionV relativeFrom="paragraph">
              <wp:posOffset>97155</wp:posOffset>
            </wp:positionV>
            <wp:extent cx="4299240" cy="2710295"/>
            <wp:effectExtent l="0" t="0" r="6350" b="13970"/>
            <wp:wrapNone/>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p>
    <w:p w14:paraId="02957ABC" w14:textId="02C4C733"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8EA5D98" w14:textId="45928A5E"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E9591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0BEB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688BD9" w14:textId="591B9ACE"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6C9B5E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35385D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641F0FB"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C6944A" w14:textId="6D05E85C"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F33C32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FD3B5EB" w14:textId="4FACD350"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7F6DC0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63C27F" w14:textId="1A2B064B"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22966B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9556500" w14:textId="530FA279"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7CEC1CB"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0078724"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BD845DF"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9BE931" w14:textId="0A3C68B2"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3</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Delhi</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10.29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9D37A58" w14:textId="1AF9D8EE"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Delhi has the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highest number of confirmed COVID cases and ranks </w:t>
      </w:r>
      <w:r w:rsidR="00C94598">
        <w:rPr>
          <w:rFonts w:eastAsia="Times New Roman" w:cstheme="minorHAnsi"/>
          <w:szCs w:val="27"/>
          <w:lang w:val="en-IN" w:eastAsia="en-IN"/>
        </w:rPr>
        <w:t>2</w:t>
      </w:r>
      <w:r w:rsidR="00C94598" w:rsidRPr="00994508">
        <w:rPr>
          <w:rFonts w:eastAsia="Times New Roman" w:cstheme="minorHAnsi"/>
          <w:szCs w:val="27"/>
          <w:vertAlign w:val="superscript"/>
          <w:lang w:val="en-IN" w:eastAsia="en-IN"/>
        </w:rPr>
        <w:t>nd</w:t>
      </w:r>
      <w:r w:rsidR="00C94598">
        <w:rPr>
          <w:rFonts w:eastAsia="Times New Roman" w:cstheme="minorHAnsi"/>
          <w:szCs w:val="27"/>
          <w:lang w:val="en-IN" w:eastAsia="en-IN"/>
        </w:rPr>
        <w:t xml:space="preserve"> bank</w:t>
      </w:r>
      <w:r>
        <w:rPr>
          <w:rFonts w:eastAsia="Times New Roman" w:cstheme="minorHAnsi"/>
          <w:szCs w:val="27"/>
          <w:lang w:val="en-IN" w:eastAsia="en-IN"/>
        </w:rPr>
        <w:t xml:space="preserve"> credit wise. </w:t>
      </w:r>
    </w:p>
    <w:p w14:paraId="5B67F029" w14:textId="548F95A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w:t>
      </w:r>
      <w:r w:rsidR="00C94598">
        <w:rPr>
          <w:rFonts w:eastAsia="Times New Roman" w:cstheme="minorHAnsi"/>
          <w:szCs w:val="27"/>
          <w:lang w:val="en-IN" w:eastAsia="en-IN"/>
        </w:rPr>
        <w:t>20</w:t>
      </w:r>
      <w:r w:rsidR="00690E55">
        <w:rPr>
          <w:rFonts w:eastAsia="Times New Roman" w:cstheme="minorHAnsi"/>
          <w:szCs w:val="27"/>
          <w:lang w:val="en-IN" w:eastAsia="en-IN"/>
        </w:rPr>
        <w:t xml:space="preserve"> by 11.68 percent</w:t>
      </w:r>
      <w:r w:rsidR="00C94598">
        <w:rPr>
          <w:rFonts w:eastAsia="Times New Roman" w:cstheme="minorHAnsi"/>
          <w:szCs w:val="27"/>
          <w:lang w:val="en-IN" w:eastAsia="en-IN"/>
        </w:rPr>
        <w:t xml:space="preserve"> and then decreases</w:t>
      </w:r>
      <w:r>
        <w:rPr>
          <w:rFonts w:eastAsia="Times New Roman" w:cstheme="minorHAnsi"/>
          <w:szCs w:val="27"/>
          <w:lang w:val="en-IN" w:eastAsia="en-IN"/>
        </w:rPr>
        <w:t xml:space="preserve"> in the first quarter of 2020-21 by </w:t>
      </w:r>
      <w:r w:rsidR="00C94598">
        <w:rPr>
          <w:rFonts w:eastAsia="Times New Roman" w:cstheme="minorHAnsi"/>
          <w:szCs w:val="27"/>
          <w:lang w:val="en-IN" w:eastAsia="en-IN"/>
        </w:rPr>
        <w:t>2</w:t>
      </w:r>
      <w:r>
        <w:rPr>
          <w:rFonts w:eastAsia="Times New Roman" w:cstheme="minorHAnsi"/>
          <w:szCs w:val="27"/>
          <w:lang w:val="en-IN" w:eastAsia="en-IN"/>
        </w:rPr>
        <w:t>.9 percent.</w:t>
      </w:r>
    </w:p>
    <w:p w14:paraId="5F50CCF3" w14:textId="6F5FE050" w:rsidR="0099450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9504" behindDoc="0" locked="0" layoutInCell="1" allowOverlap="1" wp14:anchorId="60F5B820" wp14:editId="319D3582">
            <wp:simplePos x="0" y="0"/>
            <wp:positionH relativeFrom="column">
              <wp:posOffset>933450</wp:posOffset>
            </wp:positionH>
            <wp:positionV relativeFrom="paragraph">
              <wp:posOffset>116205</wp:posOffset>
            </wp:positionV>
            <wp:extent cx="4299240" cy="2674794"/>
            <wp:effectExtent l="0" t="0" r="6350" b="11430"/>
            <wp:wrapNone/>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p>
    <w:p w14:paraId="49B5D247" w14:textId="0CECB17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084EEE" w14:textId="220A3B2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C8BE5A" w14:textId="7BEE6EF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A2C463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DAA561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CBD1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CEBF9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9A0D4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FD3B5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7D914C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FDD56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F1B8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D52046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E7F6BA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9520BA3"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52C8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63EE7E7" w14:textId="77777777" w:rsidR="00A05A7B" w:rsidRPr="000F1222"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64DA7D0" w14:textId="0BF811B1"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4</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Gujarat</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8.71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4E40336" w14:textId="5B37FD54" w:rsidR="00C94598" w:rsidRDefault="00C9459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Gujarat has the 4</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91F3C">
        <w:rPr>
          <w:rFonts w:eastAsia="Times New Roman" w:cstheme="minorHAnsi"/>
          <w:szCs w:val="27"/>
          <w:lang w:val="en-IN" w:eastAsia="en-IN"/>
        </w:rPr>
        <w:t>5</w:t>
      </w:r>
      <w:r w:rsidR="00091F3C"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w:t>
      </w:r>
      <w:r w:rsidR="00091F3C">
        <w:rPr>
          <w:rFonts w:eastAsia="Times New Roman" w:cstheme="minorHAnsi"/>
          <w:szCs w:val="27"/>
          <w:lang w:val="en-IN" w:eastAsia="en-IN"/>
        </w:rPr>
        <w:t xml:space="preserve"> in the country</w:t>
      </w:r>
      <w:r>
        <w:rPr>
          <w:rFonts w:eastAsia="Times New Roman" w:cstheme="minorHAnsi"/>
          <w:szCs w:val="27"/>
          <w:lang w:val="en-IN" w:eastAsia="en-IN"/>
        </w:rPr>
        <w:t xml:space="preserve">. </w:t>
      </w:r>
    </w:p>
    <w:p w14:paraId="029E7D27" w14:textId="1ECB38B2" w:rsidR="00C94598" w:rsidRDefault="00C9459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lastRenderedPageBreak/>
        <w:t>If there was no COVID, we would have expected a similar trend as last year – the bank credit increases in the last quarter of 2019-20</w:t>
      </w:r>
      <w:r w:rsidR="00690E55">
        <w:rPr>
          <w:rFonts w:eastAsia="Times New Roman" w:cstheme="minorHAnsi"/>
          <w:szCs w:val="27"/>
          <w:lang w:val="en-IN" w:eastAsia="en-IN"/>
        </w:rPr>
        <w:t xml:space="preserve"> by 7.05 percent</w:t>
      </w:r>
      <w:r>
        <w:rPr>
          <w:rFonts w:eastAsia="Times New Roman" w:cstheme="minorHAnsi"/>
          <w:szCs w:val="27"/>
          <w:lang w:val="en-IN" w:eastAsia="en-IN"/>
        </w:rPr>
        <w:t xml:space="preserve"> and then</w:t>
      </w:r>
      <w:r w:rsidR="00690E55">
        <w:rPr>
          <w:rFonts w:eastAsia="Times New Roman" w:cstheme="minorHAnsi"/>
          <w:szCs w:val="27"/>
          <w:lang w:val="en-IN" w:eastAsia="en-IN"/>
        </w:rPr>
        <w:t xml:space="preserve"> slightly</w:t>
      </w:r>
      <w:r>
        <w:rPr>
          <w:rFonts w:eastAsia="Times New Roman" w:cstheme="minorHAnsi"/>
          <w:szCs w:val="27"/>
          <w:lang w:val="en-IN" w:eastAsia="en-IN"/>
        </w:rPr>
        <w:t xml:space="preserve"> decreases in the first quarter of 2020-21 by </w:t>
      </w:r>
      <w:r w:rsidR="00091F3C">
        <w:rPr>
          <w:rFonts w:eastAsia="Times New Roman" w:cstheme="minorHAnsi"/>
          <w:szCs w:val="27"/>
          <w:lang w:val="en-IN" w:eastAsia="en-IN"/>
        </w:rPr>
        <w:t xml:space="preserve">0.75 </w:t>
      </w:r>
      <w:r>
        <w:rPr>
          <w:rFonts w:eastAsia="Times New Roman" w:cstheme="minorHAnsi"/>
          <w:szCs w:val="27"/>
          <w:lang w:val="en-IN" w:eastAsia="en-IN"/>
        </w:rPr>
        <w:t>percent.</w:t>
      </w:r>
    </w:p>
    <w:p w14:paraId="1533F399" w14:textId="39031740" w:rsidR="00C9459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70528" behindDoc="0" locked="0" layoutInCell="1" allowOverlap="1" wp14:anchorId="3F29F1F6" wp14:editId="1F2C6555">
            <wp:simplePos x="0" y="0"/>
            <wp:positionH relativeFrom="column">
              <wp:posOffset>933450</wp:posOffset>
            </wp:positionH>
            <wp:positionV relativeFrom="paragraph">
              <wp:posOffset>32385</wp:posOffset>
            </wp:positionV>
            <wp:extent cx="4299240" cy="2674794"/>
            <wp:effectExtent l="0" t="0" r="6350" b="11430"/>
            <wp:wrapNone/>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14:paraId="212F0EFF" w14:textId="189220DA"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CBE58D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8451FE"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4A310C"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54886E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6C46A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DF3C6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1C023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8D116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26E1DB0" w14:textId="77777777" w:rsidR="00690E55" w:rsidRPr="000F1222"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0E55CC"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FE638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B3C1105"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A65DFC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CA7F9"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3827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C2B9415" w14:textId="04FEC8C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5</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Rajasthan</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4.66</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DA608B9" w14:textId="3FD51DA3"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Rajasthan has the 5</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4D6760A2" w14:textId="10D44B4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CA4C58">
        <w:rPr>
          <w:rFonts w:eastAsia="Times New Roman" w:cstheme="minorHAnsi"/>
          <w:szCs w:val="27"/>
          <w:lang w:val="en-IN" w:eastAsia="en-IN"/>
        </w:rPr>
        <w:t xml:space="preserve">by 7.6 percent </w:t>
      </w:r>
      <w:r>
        <w:rPr>
          <w:rFonts w:eastAsia="Times New Roman" w:cstheme="minorHAnsi"/>
          <w:szCs w:val="27"/>
          <w:lang w:val="en-IN" w:eastAsia="en-IN"/>
        </w:rPr>
        <w:t xml:space="preserve">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0.72 percent.</w:t>
      </w:r>
    </w:p>
    <w:p w14:paraId="4E715275" w14:textId="5CF81DE0" w:rsidR="00A73F9B"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6432" behindDoc="0" locked="0" layoutInCell="1" allowOverlap="1" wp14:anchorId="42C16AEA" wp14:editId="251003C1">
            <wp:simplePos x="0" y="0"/>
            <wp:positionH relativeFrom="column">
              <wp:posOffset>923925</wp:posOffset>
            </wp:positionH>
            <wp:positionV relativeFrom="paragraph">
              <wp:posOffset>114935</wp:posOffset>
            </wp:positionV>
            <wp:extent cx="4299240" cy="2674794"/>
            <wp:effectExtent l="0" t="0" r="6350" b="1143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p>
    <w:p w14:paraId="6C752718" w14:textId="1FECDD7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8AFFC1"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73844"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E8685E9"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9CC0333"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AEB31B5"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E4202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AB250D0"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5D2EA7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779CC32"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69B6266"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26CD9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EDCA1F9" w14:textId="14A0F3E3"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6</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Madhya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97C4883" w14:textId="6856D8D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Madhya Pradesh has the 6</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146CBEB0" w14:textId="7241009D"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2.46 percent</w:t>
      </w:r>
      <w:r>
        <w:rPr>
          <w:rFonts w:eastAsia="Times New Roman" w:cstheme="minorHAnsi"/>
          <w:szCs w:val="27"/>
          <w:lang w:val="en-IN" w:eastAsia="en-IN"/>
        </w:rPr>
        <w:t xml:space="preserve"> and then</w:t>
      </w:r>
      <w:r w:rsidR="00CA4C58">
        <w:rPr>
          <w:rFonts w:eastAsia="Times New Roman" w:cstheme="minorHAnsi"/>
          <w:szCs w:val="27"/>
          <w:lang w:val="en-IN" w:eastAsia="en-IN"/>
        </w:rPr>
        <w:t xml:space="preserve"> again</w:t>
      </w:r>
      <w:r>
        <w:rPr>
          <w:rFonts w:eastAsia="Times New Roman" w:cstheme="minorHAnsi"/>
          <w:szCs w:val="27"/>
          <w:lang w:val="en-IN" w:eastAsia="en-IN"/>
        </w:rPr>
        <w:t xml:space="preserve"> increases in the first quarter of 2020-21 by 2 percent.</w:t>
      </w:r>
    </w:p>
    <w:p w14:paraId="7396565E" w14:textId="1557F15D" w:rsidR="00091F3C"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5408" behindDoc="0" locked="0" layoutInCell="1" allowOverlap="1" wp14:anchorId="0A369E2C" wp14:editId="478BB10C">
            <wp:simplePos x="0" y="0"/>
            <wp:positionH relativeFrom="column">
              <wp:posOffset>923925</wp:posOffset>
            </wp:positionH>
            <wp:positionV relativeFrom="paragraph">
              <wp:posOffset>99060</wp:posOffset>
            </wp:positionV>
            <wp:extent cx="4298950" cy="2710180"/>
            <wp:effectExtent l="0" t="0" r="6350" b="1397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anchor>
        </w:drawing>
      </w:r>
    </w:p>
    <w:p w14:paraId="34A65B5A" w14:textId="5BF306C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0B65FB" w14:textId="5A89F03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2F154A2" w14:textId="50781F72"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08919C" w14:textId="4641A21D"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3C6DA8D" w14:textId="0EBF5A20"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B14A2" w14:textId="71707223"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21CA10" w14:textId="25FB67CA"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1C205" w14:textId="35E2919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8D1D8D"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3B354A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C29D5A"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21B38A6"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958FF9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B685A7"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1A32A5A"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13EBE12" w14:textId="3DC2CD98"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7</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Uttar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F3E9D74" w14:textId="7B085C64"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Uttar Pradesh has the 7</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7</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C15687A" w14:textId="2137BC5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5.6 percent</w:t>
      </w:r>
      <w:r>
        <w:rPr>
          <w:rFonts w:eastAsia="Times New Roman" w:cstheme="minorHAnsi"/>
          <w:szCs w:val="27"/>
          <w:lang w:val="en-IN" w:eastAsia="en-IN"/>
        </w:rPr>
        <w:t xml:space="preserve"> 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0.55 percent.</w:t>
      </w:r>
    </w:p>
    <w:p w14:paraId="6C64B9F3" w14:textId="6C6CA595" w:rsidR="00091F3C"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4384" behindDoc="0" locked="0" layoutInCell="1" allowOverlap="1" wp14:anchorId="1AD1235C" wp14:editId="63B7AAD1">
            <wp:simplePos x="0" y="0"/>
            <wp:positionH relativeFrom="column">
              <wp:posOffset>819150</wp:posOffset>
            </wp:positionH>
            <wp:positionV relativeFrom="paragraph">
              <wp:posOffset>106680</wp:posOffset>
            </wp:positionV>
            <wp:extent cx="4299240" cy="2674794"/>
            <wp:effectExtent l="0" t="0" r="6350" b="1143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p>
    <w:p w14:paraId="27AF5C5E" w14:textId="6528E1D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77552C" w14:textId="6ACEC3EC"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FFF17F"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AA8C06"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CA835F"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01E880A"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E55A7C5"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7121CFD"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EEE96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47C156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74E61EA"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8211149"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F0EB90B" w14:textId="0132DA25"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8</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West Bengal</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2.85</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F9D972" w14:textId="7701DC6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West Bengal has the 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11DB8">
        <w:rPr>
          <w:rFonts w:eastAsia="Times New Roman" w:cstheme="minorHAnsi"/>
          <w:szCs w:val="27"/>
          <w:lang w:val="en-IN" w:eastAsia="en-IN"/>
        </w:rPr>
        <w:t>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4D65784" w14:textId="6129B2EA"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011DB8">
        <w:rPr>
          <w:rFonts w:eastAsia="Times New Roman" w:cstheme="minorHAnsi"/>
          <w:szCs w:val="27"/>
          <w:lang w:val="en-IN" w:eastAsia="en-IN"/>
        </w:rPr>
        <w:t xml:space="preserve">by </w:t>
      </w:r>
      <w:r w:rsidR="00690E55">
        <w:rPr>
          <w:rFonts w:eastAsia="Times New Roman" w:cstheme="minorHAnsi"/>
          <w:szCs w:val="27"/>
          <w:lang w:val="en-IN" w:eastAsia="en-IN"/>
        </w:rPr>
        <w:t>2.36</w:t>
      </w:r>
      <w:r w:rsidR="00011DB8">
        <w:rPr>
          <w:rFonts w:eastAsia="Times New Roman" w:cstheme="minorHAnsi"/>
          <w:szCs w:val="27"/>
          <w:lang w:val="en-IN" w:eastAsia="en-IN"/>
        </w:rPr>
        <w:t xml:space="preserve"> percent </w:t>
      </w:r>
      <w:r>
        <w:rPr>
          <w:rFonts w:eastAsia="Times New Roman" w:cstheme="minorHAnsi"/>
          <w:szCs w:val="27"/>
          <w:lang w:val="en-IN" w:eastAsia="en-IN"/>
        </w:rPr>
        <w:t xml:space="preserve">and then </w:t>
      </w:r>
      <w:r w:rsidR="00011DB8">
        <w:rPr>
          <w:rFonts w:eastAsia="Times New Roman" w:cstheme="minorHAnsi"/>
          <w:szCs w:val="27"/>
          <w:lang w:val="en-IN" w:eastAsia="en-IN"/>
        </w:rPr>
        <w:t>slightly decreases</w:t>
      </w:r>
      <w:r>
        <w:rPr>
          <w:rFonts w:eastAsia="Times New Roman" w:cstheme="minorHAnsi"/>
          <w:szCs w:val="27"/>
          <w:lang w:val="en-IN" w:eastAsia="en-IN"/>
        </w:rPr>
        <w:t xml:space="preserve"> in the first quarter of 2020-21 by </w:t>
      </w:r>
      <w:r w:rsidR="00011DB8">
        <w:rPr>
          <w:rFonts w:eastAsia="Times New Roman" w:cstheme="minorHAnsi"/>
          <w:szCs w:val="27"/>
          <w:lang w:val="en-IN" w:eastAsia="en-IN"/>
        </w:rPr>
        <w:t>0.97</w:t>
      </w:r>
      <w:r>
        <w:rPr>
          <w:rFonts w:eastAsia="Times New Roman" w:cstheme="minorHAnsi"/>
          <w:szCs w:val="27"/>
          <w:lang w:val="en-IN" w:eastAsia="en-IN"/>
        </w:rPr>
        <w:t xml:space="preserve"> percent.</w:t>
      </w:r>
    </w:p>
    <w:p w14:paraId="2E78A90B" w14:textId="17C19DFE" w:rsidR="00091F3C"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3360" behindDoc="0" locked="0" layoutInCell="1" allowOverlap="1" wp14:anchorId="7CE8E4E3" wp14:editId="671E3E29">
            <wp:simplePos x="0" y="0"/>
            <wp:positionH relativeFrom="column">
              <wp:posOffset>819150</wp:posOffset>
            </wp:positionH>
            <wp:positionV relativeFrom="paragraph">
              <wp:posOffset>29845</wp:posOffset>
            </wp:positionV>
            <wp:extent cx="4299240" cy="2667000"/>
            <wp:effectExtent l="0" t="0" r="6350" b="0"/>
            <wp:wrapNone/>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p>
    <w:p w14:paraId="50C96986" w14:textId="31FBA88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E21D55" w14:textId="6D097D8D"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3AC1AF"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CB34AF"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508C840"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CF747D8"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58C086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82B36A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CDC7956"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BA6677D" w14:textId="4EA2E6CA"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sidR="00A73F9B">
        <w:rPr>
          <w:rFonts w:ascii="Helvetica" w:eastAsia="Times New Roman" w:hAnsi="Helvetica" w:cs="Helvetica"/>
          <w:b/>
          <w:color w:val="595959" w:themeColor="text1" w:themeTint="A6"/>
          <w:sz w:val="25"/>
          <w:szCs w:val="27"/>
          <w:lang w:val="en-IN" w:eastAsia="en-IN"/>
        </w:rPr>
        <w:t>9</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Bihar</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3BB2C9" w14:textId="309AACD8"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Bihar has the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39BFA29E" w14:textId="3269219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4</w:t>
      </w:r>
      <w:r w:rsidR="00690E55">
        <w:rPr>
          <w:rFonts w:eastAsia="Times New Roman" w:cstheme="minorHAnsi"/>
          <w:szCs w:val="27"/>
          <w:lang w:val="en-IN" w:eastAsia="en-IN"/>
        </w:rPr>
        <w:t>.52</w:t>
      </w:r>
      <w:r>
        <w:rPr>
          <w:rFonts w:eastAsia="Times New Roman" w:cstheme="minorHAnsi"/>
          <w:szCs w:val="27"/>
          <w:lang w:val="en-IN" w:eastAsia="en-IN"/>
        </w:rPr>
        <w:t xml:space="preserve"> percent and then again increases in the first quarter of 2020-21 by 2.3 percent.</w:t>
      </w:r>
    </w:p>
    <w:p w14:paraId="12731D67" w14:textId="73C2B248" w:rsidR="00011DB8"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2336" behindDoc="0" locked="0" layoutInCell="1" allowOverlap="1" wp14:anchorId="02CE666B" wp14:editId="0C6C8687">
            <wp:simplePos x="0" y="0"/>
            <wp:positionH relativeFrom="column">
              <wp:posOffset>904875</wp:posOffset>
            </wp:positionH>
            <wp:positionV relativeFrom="paragraph">
              <wp:posOffset>80010</wp:posOffset>
            </wp:positionV>
            <wp:extent cx="4299240" cy="2674794"/>
            <wp:effectExtent l="0" t="0" r="6350" b="11430"/>
            <wp:wrapNone/>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p>
    <w:p w14:paraId="3E253390" w14:textId="16E1E95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37DEC0" w14:textId="44976784"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A93D8C"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9F3E40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804BAB"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E3B882"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2A47D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11E8AD"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182743"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A71D3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17B134"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5C79E"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7F7ED4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56F125"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9D912F9"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4D960F3"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884B1CD" w14:textId="7DA6630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10</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Andhra Pradesh</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1.91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2D09F45B" w14:textId="17DC8B56"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Andhra Pradesh has the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44A87CE" w14:textId="51D22A8B"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7.34</w:t>
      </w:r>
      <w:r>
        <w:rPr>
          <w:rFonts w:eastAsia="Times New Roman" w:cstheme="minorHAnsi"/>
          <w:szCs w:val="27"/>
          <w:lang w:val="en-IN" w:eastAsia="en-IN"/>
        </w:rPr>
        <w:t xml:space="preserve"> percent and then again slightly increases in the first quarter of 2020-21 by 0.47 percent.</w:t>
      </w:r>
    </w:p>
    <w:p w14:paraId="4CCB4459" w14:textId="7AC9C232"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1312" behindDoc="0" locked="0" layoutInCell="1" allowOverlap="1" wp14:anchorId="434D0624" wp14:editId="790495A8">
            <wp:simplePos x="0" y="0"/>
            <wp:positionH relativeFrom="column">
              <wp:posOffset>1019175</wp:posOffset>
            </wp:positionH>
            <wp:positionV relativeFrom="paragraph">
              <wp:posOffset>108585</wp:posOffset>
            </wp:positionV>
            <wp:extent cx="4299240" cy="2667000"/>
            <wp:effectExtent l="0" t="0" r="6350" b="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p w14:paraId="501F86DE" w14:textId="085688C6"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485C631" w14:textId="39FB7416"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E23EDF0"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909AD5"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09099B3"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66523F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121DDE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B4B5EA1"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50667E7" w14:textId="7331601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sidR="00A73F9B">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Karnataka</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1.77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02A4D8D" w14:textId="5B158CAB"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Karnataka has the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4</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00208258" w14:textId="1CD0313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3.</w:t>
      </w:r>
      <w:r w:rsidR="00690E55">
        <w:rPr>
          <w:rFonts w:eastAsia="Times New Roman" w:cstheme="minorHAnsi"/>
          <w:szCs w:val="27"/>
          <w:lang w:val="en-IN" w:eastAsia="en-IN"/>
        </w:rPr>
        <w:t>63</w:t>
      </w:r>
      <w:r>
        <w:rPr>
          <w:rFonts w:eastAsia="Times New Roman" w:cstheme="minorHAnsi"/>
          <w:szCs w:val="27"/>
          <w:lang w:val="en-IN" w:eastAsia="en-IN"/>
        </w:rPr>
        <w:t xml:space="preserve"> percent and then again increases in the first quarter of 2020-21 by </w:t>
      </w:r>
      <w:r w:rsidR="00B36020">
        <w:rPr>
          <w:rFonts w:eastAsia="Times New Roman" w:cstheme="minorHAnsi"/>
          <w:szCs w:val="27"/>
          <w:lang w:val="en-IN" w:eastAsia="en-IN"/>
        </w:rPr>
        <w:t>1.04</w:t>
      </w:r>
      <w:r>
        <w:rPr>
          <w:rFonts w:eastAsia="Times New Roman" w:cstheme="minorHAnsi"/>
          <w:szCs w:val="27"/>
          <w:lang w:val="en-IN" w:eastAsia="en-IN"/>
        </w:rPr>
        <w:t xml:space="preserve"> percent.</w:t>
      </w:r>
    </w:p>
    <w:p w14:paraId="08368F76" w14:textId="79FC2DFE"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60288" behindDoc="0" locked="0" layoutInCell="1" allowOverlap="1" wp14:anchorId="620A308B" wp14:editId="44D7F687">
            <wp:simplePos x="0" y="0"/>
            <wp:positionH relativeFrom="column">
              <wp:posOffset>781050</wp:posOffset>
            </wp:positionH>
            <wp:positionV relativeFrom="paragraph">
              <wp:posOffset>50165</wp:posOffset>
            </wp:positionV>
            <wp:extent cx="4299240" cy="2667000"/>
            <wp:effectExtent l="0" t="0" r="6350" b="0"/>
            <wp:wrapNone/>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p w14:paraId="73F47C2E"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4CD74B" w14:textId="2EED229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C749B01"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1123DA0"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D2E7E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D17A5BE"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F3E4A87"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3BE1B7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F2FCEBC"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B6EE8A"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6A34C9" w14:textId="77777777" w:rsidR="00322242" w:rsidRDefault="0032224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1C82710"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BE4AE0" w14:textId="464B5A07"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Telangana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1.54</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54411B33" w14:textId="64B06FE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lastRenderedPageBreak/>
        <w:t>Telangana has the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98D1DF9" w14:textId="5D0CEE0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If there was no COVID, we would have expected a similar trend as last year – the bank credit increases in the</w:t>
      </w:r>
      <w:r w:rsidR="00690E55">
        <w:rPr>
          <w:rFonts w:eastAsia="Times New Roman" w:cstheme="minorHAnsi"/>
          <w:szCs w:val="27"/>
          <w:lang w:val="en-IN" w:eastAsia="en-IN"/>
        </w:rPr>
        <w:t xml:space="preserve"> last quarter of 2019-20 by 3</w:t>
      </w:r>
      <w:r>
        <w:rPr>
          <w:rFonts w:eastAsia="Times New Roman" w:cstheme="minorHAnsi"/>
          <w:szCs w:val="27"/>
          <w:lang w:val="en-IN" w:eastAsia="en-IN"/>
        </w:rPr>
        <w:t xml:space="preserve"> percent and then slightly decreases in the first quarter of 2020-21 by 0.5 percent.</w:t>
      </w:r>
    </w:p>
    <w:p w14:paraId="66E87A15" w14:textId="451E9E8E"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59264" behindDoc="0" locked="0" layoutInCell="1" allowOverlap="1" wp14:anchorId="7FA07295" wp14:editId="2184F44C">
            <wp:simplePos x="0" y="0"/>
            <wp:positionH relativeFrom="column">
              <wp:posOffset>885825</wp:posOffset>
            </wp:positionH>
            <wp:positionV relativeFrom="paragraph">
              <wp:posOffset>97790</wp:posOffset>
            </wp:positionV>
            <wp:extent cx="4299240" cy="2667000"/>
            <wp:effectExtent l="0" t="0" r="6350" b="0"/>
            <wp:wrapNone/>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p w14:paraId="1FC14357" w14:textId="1E0F1ED5"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DECED1F"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5518AE9" w14:textId="0761BB1B"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3D7647B"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665152B"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EE9D468"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B86860D"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D18CA0"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583C797"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39BF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6767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17AB5B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EECB03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FE2BAD"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7AF55C6" w14:textId="72A9FF9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3 Kerala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0.7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4811F5A9" w14:textId="75FD15B8"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Kerala has the 18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7981D957" w14:textId="51B25CF0" w:rsidR="00C25E9E"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4.19</w:t>
      </w:r>
      <w:r>
        <w:rPr>
          <w:rFonts w:eastAsia="Times New Roman" w:cstheme="minorHAnsi"/>
          <w:szCs w:val="27"/>
          <w:lang w:val="en-IN" w:eastAsia="en-IN"/>
        </w:rPr>
        <w:t xml:space="preserve"> percent and then again slightly increases in the first quarter of 2020-21 by 0.38 percent.</w:t>
      </w:r>
    </w:p>
    <w:p w14:paraId="2C5FEB77" w14:textId="3456ED38" w:rsidR="00B36020"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bidi="hi-IN"/>
        </w:rPr>
        <w:drawing>
          <wp:anchor distT="0" distB="0" distL="114300" distR="114300" simplePos="0" relativeHeight="251658240" behindDoc="0" locked="0" layoutInCell="1" allowOverlap="1" wp14:anchorId="50AD2EA6" wp14:editId="4BC7D28F">
            <wp:simplePos x="0" y="0"/>
            <wp:positionH relativeFrom="column">
              <wp:posOffset>971550</wp:posOffset>
            </wp:positionH>
            <wp:positionV relativeFrom="paragraph">
              <wp:posOffset>173990</wp:posOffset>
            </wp:positionV>
            <wp:extent cx="4298950" cy="2495550"/>
            <wp:effectExtent l="0" t="0" r="6350" b="0"/>
            <wp:wrapNone/>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anchor>
        </w:drawing>
      </w:r>
    </w:p>
    <w:p w14:paraId="243694BB" w14:textId="3E2BE0AC"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F1DA6E2" w14:textId="16368072"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474858"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7C99735" w14:textId="77777777" w:rsidR="000F1222" w:rsidRPr="000F1222" w:rsidRDefault="000F1222"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095E59" w14:textId="77777777" w:rsidR="005B33AC" w:rsidRPr="005B33AC" w:rsidRDefault="005B33AC" w:rsidP="003F430A">
      <w:pPr>
        <w:shd w:val="clear" w:color="auto" w:fill="FFFFFF"/>
        <w:spacing w:after="0" w:line="240" w:lineRule="auto"/>
        <w:jc w:val="both"/>
        <w:rPr>
          <w:rFonts w:ascii="Times New Roman" w:eastAsia="Times New Roman" w:hAnsi="Times New Roman" w:cs="Times New Roman"/>
          <w:sz w:val="20"/>
          <w:szCs w:val="24"/>
          <w:lang w:val="en-IN" w:eastAsia="en-IN"/>
        </w:rPr>
      </w:pPr>
    </w:p>
    <w:p w14:paraId="74A364AC" w14:textId="07F66FC8" w:rsidR="00172AEA" w:rsidRDefault="00172AEA" w:rsidP="003F430A">
      <w:pPr>
        <w:jc w:val="both"/>
        <w:rPr>
          <w:rFonts w:ascii="Helvetica" w:hAnsi="Helvetica"/>
          <w:b/>
          <w:bCs/>
          <w:color w:val="595959" w:themeColor="text1" w:themeTint="A6"/>
          <w:sz w:val="28"/>
          <w:szCs w:val="28"/>
        </w:rPr>
      </w:pPr>
    </w:p>
    <w:p w14:paraId="7FCC5476" w14:textId="77777777" w:rsidR="00172AEA" w:rsidRPr="00172AEA" w:rsidRDefault="00172AEA" w:rsidP="003F430A">
      <w:pPr>
        <w:jc w:val="both"/>
        <w:rPr>
          <w:rFonts w:ascii="Helvetica" w:hAnsi="Helvetica"/>
          <w:sz w:val="28"/>
          <w:szCs w:val="28"/>
        </w:rPr>
      </w:pPr>
    </w:p>
    <w:p w14:paraId="6061CE21" w14:textId="77777777" w:rsidR="00172AEA" w:rsidRPr="00172AEA" w:rsidRDefault="00172AEA" w:rsidP="003F430A">
      <w:pPr>
        <w:jc w:val="both"/>
        <w:rPr>
          <w:rFonts w:ascii="Helvetica" w:hAnsi="Helvetica"/>
          <w:sz w:val="28"/>
          <w:szCs w:val="28"/>
        </w:rPr>
      </w:pPr>
    </w:p>
    <w:p w14:paraId="2BB6D062" w14:textId="77777777" w:rsidR="00172AEA" w:rsidRPr="00172AEA" w:rsidRDefault="00172AEA" w:rsidP="003F430A">
      <w:pPr>
        <w:jc w:val="both"/>
        <w:rPr>
          <w:rFonts w:ascii="Helvetica" w:hAnsi="Helvetica"/>
          <w:sz w:val="28"/>
          <w:szCs w:val="28"/>
        </w:rPr>
      </w:pPr>
    </w:p>
    <w:p w14:paraId="142B08CD" w14:textId="1F650C7B" w:rsidR="00172AEA" w:rsidRDefault="00172AEA" w:rsidP="003F430A">
      <w:pPr>
        <w:jc w:val="both"/>
        <w:rPr>
          <w:rFonts w:ascii="Helvetica" w:hAnsi="Helvetica"/>
          <w:sz w:val="28"/>
          <w:szCs w:val="28"/>
        </w:rPr>
      </w:pPr>
    </w:p>
    <w:p w14:paraId="2B63252F" w14:textId="77777777" w:rsidR="00172AEA" w:rsidRDefault="00172AEA" w:rsidP="003F430A">
      <w:pPr>
        <w:shd w:val="clear" w:color="auto" w:fill="FFFFFF"/>
        <w:spacing w:after="0" w:line="240" w:lineRule="auto"/>
        <w:jc w:val="both"/>
        <w:rPr>
          <w:rFonts w:ascii="Helvetica" w:hAnsi="Helvetica"/>
          <w:sz w:val="28"/>
          <w:szCs w:val="28"/>
        </w:rPr>
      </w:pPr>
    </w:p>
    <w:p w14:paraId="29650E0E"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24D8EA35"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1D407A70" w14:textId="423A4771" w:rsidR="00172AEA" w:rsidRPr="00172AEA" w:rsidRDefault="00172AEA"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r w:rsidRPr="00172AEA">
        <w:rPr>
          <w:rFonts w:ascii="Helvetica" w:eastAsia="Times New Roman" w:hAnsi="Helvetica" w:cs="Helvetica"/>
          <w:b/>
          <w:color w:val="595959" w:themeColor="text1" w:themeTint="A6"/>
          <w:sz w:val="27"/>
          <w:szCs w:val="27"/>
          <w:lang w:val="en-IN" w:eastAsia="en-IN"/>
        </w:rPr>
        <w:lastRenderedPageBreak/>
        <w:t>5.2 Facto</w:t>
      </w:r>
      <w:r>
        <w:rPr>
          <w:rFonts w:ascii="Helvetica" w:eastAsia="Times New Roman" w:hAnsi="Helvetica" w:cs="Helvetica"/>
          <w:b/>
          <w:color w:val="595959" w:themeColor="text1" w:themeTint="A6"/>
          <w:sz w:val="27"/>
          <w:szCs w:val="27"/>
          <w:lang w:val="en-IN" w:eastAsia="en-IN"/>
        </w:rPr>
        <w:t xml:space="preserve">rs </w:t>
      </w:r>
      <w:proofErr w:type="gramStart"/>
      <w:r>
        <w:rPr>
          <w:rFonts w:ascii="Helvetica" w:eastAsia="Times New Roman" w:hAnsi="Helvetica" w:cs="Helvetica"/>
          <w:b/>
          <w:color w:val="595959" w:themeColor="text1" w:themeTint="A6"/>
          <w:sz w:val="27"/>
          <w:szCs w:val="27"/>
          <w:lang w:val="en-IN" w:eastAsia="en-IN"/>
        </w:rPr>
        <w:t>taken into account</w:t>
      </w:r>
      <w:proofErr w:type="gramEnd"/>
      <w:r>
        <w:rPr>
          <w:rFonts w:ascii="Helvetica" w:eastAsia="Times New Roman" w:hAnsi="Helvetica" w:cs="Helvetica"/>
          <w:b/>
          <w:color w:val="595959" w:themeColor="text1" w:themeTint="A6"/>
          <w:sz w:val="27"/>
          <w:szCs w:val="27"/>
          <w:lang w:val="en-IN" w:eastAsia="en-IN"/>
        </w:rPr>
        <w:t xml:space="preserve"> to study</w:t>
      </w:r>
      <w:r w:rsidR="0057267A">
        <w:rPr>
          <w:rFonts w:ascii="Helvetica" w:eastAsia="Times New Roman" w:hAnsi="Helvetica" w:cs="Helvetica"/>
          <w:b/>
          <w:color w:val="595959" w:themeColor="text1" w:themeTint="A6"/>
          <w:sz w:val="27"/>
          <w:szCs w:val="27"/>
          <w:lang w:val="en-IN" w:eastAsia="en-IN"/>
        </w:rPr>
        <w:t xml:space="preserve"> the relative</w:t>
      </w:r>
      <w:r>
        <w:rPr>
          <w:rFonts w:ascii="Helvetica" w:eastAsia="Times New Roman" w:hAnsi="Helvetica" w:cs="Helvetica"/>
          <w:b/>
          <w:color w:val="595959" w:themeColor="text1" w:themeTint="A6"/>
          <w:sz w:val="27"/>
          <w:szCs w:val="27"/>
          <w:lang w:val="en-IN" w:eastAsia="en-IN"/>
        </w:rPr>
        <w:t xml:space="preserve"> i</w:t>
      </w:r>
      <w:r w:rsidRPr="00172AEA">
        <w:rPr>
          <w:rFonts w:ascii="Helvetica" w:eastAsia="Times New Roman" w:hAnsi="Helvetica" w:cs="Helvetica"/>
          <w:b/>
          <w:color w:val="595959" w:themeColor="text1" w:themeTint="A6"/>
          <w:sz w:val="27"/>
          <w:szCs w:val="27"/>
          <w:lang w:val="en-IN" w:eastAsia="en-IN"/>
        </w:rPr>
        <w:t>mpact of COVID on non-payment o</w:t>
      </w:r>
      <w:r>
        <w:rPr>
          <w:rFonts w:ascii="Helvetica" w:eastAsia="Times New Roman" w:hAnsi="Helvetica" w:cs="Helvetica"/>
          <w:b/>
          <w:color w:val="595959" w:themeColor="text1" w:themeTint="A6"/>
          <w:sz w:val="27"/>
          <w:szCs w:val="27"/>
          <w:lang w:val="en-IN" w:eastAsia="en-IN"/>
        </w:rPr>
        <w:t>f bank credit</w:t>
      </w:r>
    </w:p>
    <w:p w14:paraId="3CDBDC73" w14:textId="77777777" w:rsidR="00172AEA" w:rsidRDefault="00172AEA" w:rsidP="003F430A">
      <w:pPr>
        <w:shd w:val="clear" w:color="auto" w:fill="FFFFFF"/>
        <w:spacing w:after="0" w:line="240" w:lineRule="auto"/>
        <w:jc w:val="both"/>
        <w:rPr>
          <w:rFonts w:ascii="Times New Roman" w:eastAsia="Times New Roman" w:hAnsi="Times New Roman" w:cs="Times New Roman"/>
          <w:color w:val="000000"/>
          <w:sz w:val="27"/>
          <w:szCs w:val="27"/>
          <w:lang w:val="en-IN" w:eastAsia="en-IN"/>
        </w:rPr>
      </w:pPr>
    </w:p>
    <w:p w14:paraId="4DA5E637" w14:textId="37328139"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r w:rsidRPr="00172AEA">
        <w:rPr>
          <w:rFonts w:ascii="Calibri" w:eastAsia="Times New Roman" w:hAnsi="Calibri" w:cs="Calibri"/>
          <w:szCs w:val="27"/>
          <w:lang w:val="en-IN" w:eastAsia="en-IN"/>
        </w:rPr>
        <w:t xml:space="preserve">The two factors that we have </w:t>
      </w:r>
      <w:proofErr w:type="gramStart"/>
      <w:r w:rsidRPr="00172AEA">
        <w:rPr>
          <w:rFonts w:ascii="Calibri" w:eastAsia="Times New Roman" w:hAnsi="Calibri" w:cs="Calibri"/>
          <w:szCs w:val="27"/>
          <w:lang w:val="en-IN" w:eastAsia="en-IN"/>
        </w:rPr>
        <w:t>taken into account</w:t>
      </w:r>
      <w:proofErr w:type="gramEnd"/>
      <w:r w:rsidRPr="00172AEA">
        <w:rPr>
          <w:rFonts w:ascii="Calibri" w:eastAsia="Times New Roman" w:hAnsi="Calibri" w:cs="Calibri"/>
          <w:szCs w:val="27"/>
          <w:lang w:val="en-IN" w:eastAsia="en-IN"/>
        </w:rPr>
        <w:t xml:space="preserve"> to study the</w:t>
      </w:r>
      <w:r w:rsidR="002A41E4">
        <w:rPr>
          <w:rFonts w:ascii="Calibri" w:eastAsia="Times New Roman" w:hAnsi="Calibri" w:cs="Calibri"/>
          <w:szCs w:val="27"/>
          <w:lang w:val="en-IN" w:eastAsia="en-IN"/>
        </w:rPr>
        <w:t xml:space="preserve"> relative</w:t>
      </w:r>
      <w:r w:rsidRPr="00172AEA">
        <w:rPr>
          <w:rFonts w:ascii="Calibri" w:eastAsia="Times New Roman" w:hAnsi="Calibri" w:cs="Calibri"/>
          <w:szCs w:val="27"/>
          <w:lang w:val="en-IN" w:eastAsia="en-IN"/>
        </w:rPr>
        <w:t xml:space="preserve"> impact of COVID on non-payment of bank credit is the total number of confirmed COVID cases and the population in each of the 13 states.</w:t>
      </w:r>
    </w:p>
    <w:p w14:paraId="309DB2CB"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ED70954" w14:textId="1A8DCA90" w:rsidR="002A41E4"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Using the total number of confirmed COVID cases in each state, we found the percentage of cases in each of the 13 states that contributes to the total number of confirmed cases. Using the fol</w:t>
      </w:r>
      <w:r w:rsidR="005E6FE5">
        <w:rPr>
          <w:rFonts w:ascii="Calibri" w:eastAsia="Times New Roman" w:hAnsi="Calibri" w:cs="Calibri"/>
          <w:szCs w:val="27"/>
          <w:lang w:val="en-IN" w:eastAsia="en-IN"/>
        </w:rPr>
        <w:t xml:space="preserve">lowing formula, </w:t>
      </w:r>
    </w:p>
    <w:p w14:paraId="1EDB6D76" w14:textId="50D38175" w:rsidR="00172AEA" w:rsidRPr="00665659" w:rsidRDefault="00172AEA" w:rsidP="003F430A">
      <w:pPr>
        <w:shd w:val="clear" w:color="auto" w:fill="FFFFFF"/>
        <w:spacing w:after="0" w:line="36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cases in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number of confirmed cases in the 13 states</m:t>
              </m:r>
            </m:den>
          </m:f>
          <m:r>
            <w:rPr>
              <w:rFonts w:ascii="Cambria Math" w:eastAsia="Times New Roman" w:hAnsi="Cambria Math" w:cs="Calibri"/>
              <w:sz w:val="20"/>
              <w:szCs w:val="24"/>
              <w:lang w:val="en-IN" w:eastAsia="en-IN"/>
            </w:rPr>
            <m:t xml:space="preserve"> ×100</m:t>
          </m:r>
        </m:oMath>
      </m:oMathPara>
    </w:p>
    <w:p w14:paraId="2CE0F0C9" w14:textId="77777777" w:rsidR="00A05A7B" w:rsidRDefault="00A05A7B" w:rsidP="003F430A">
      <w:pPr>
        <w:shd w:val="clear" w:color="auto" w:fill="FFFFFF"/>
        <w:spacing w:after="0" w:line="360" w:lineRule="auto"/>
        <w:jc w:val="both"/>
        <w:rPr>
          <w:rFonts w:ascii="Calibri" w:eastAsia="Times New Roman" w:hAnsi="Calibri" w:cs="Calibri"/>
          <w:szCs w:val="27"/>
          <w:lang w:val="en-IN" w:eastAsia="en-IN"/>
        </w:rPr>
      </w:pPr>
    </w:p>
    <w:p w14:paraId="27944991" w14:textId="4CA0B148" w:rsidR="002A41E4" w:rsidRDefault="00172AEA" w:rsidP="003F430A">
      <w:pPr>
        <w:shd w:val="clear" w:color="auto" w:fill="FFFFFF"/>
        <w:spacing w:after="0" w:line="36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Then we found out the percentage of COVID affected population in each state</w:t>
      </w:r>
      <w:r w:rsidR="00ED7C2F">
        <w:rPr>
          <w:rFonts w:ascii="Calibri" w:eastAsia="Times New Roman" w:hAnsi="Calibri" w:cs="Calibri"/>
          <w:szCs w:val="27"/>
          <w:lang w:val="en-IN" w:eastAsia="en-IN"/>
        </w:rPr>
        <w:t>.</w:t>
      </w:r>
    </w:p>
    <w:p w14:paraId="1AF5DD11" w14:textId="688B0419"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affected population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population of that state</m:t>
              </m:r>
            </m:den>
          </m:f>
          <m:r>
            <w:rPr>
              <w:rFonts w:ascii="Cambria Math" w:eastAsia="Times New Roman" w:hAnsi="Cambria Math" w:cs="Calibri"/>
              <w:sz w:val="20"/>
              <w:szCs w:val="24"/>
              <w:lang w:val="en-IN" w:eastAsia="en-IN"/>
            </w:rPr>
            <m:t xml:space="preserve"> ×100</m:t>
          </m:r>
        </m:oMath>
      </m:oMathPara>
    </w:p>
    <w:p w14:paraId="3CB2D1B1" w14:textId="77777777"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C821D18"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F0AEF91" w14:textId="41C6DFF4" w:rsidR="0093537A"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Finally, to study the relative i</w:t>
      </w:r>
      <w:r w:rsidR="00665659">
        <w:rPr>
          <w:rFonts w:ascii="Calibri" w:eastAsia="Times New Roman" w:hAnsi="Calibri" w:cs="Calibri"/>
          <w:szCs w:val="27"/>
          <w:lang w:val="en-IN" w:eastAsia="en-IN"/>
        </w:rPr>
        <w:t>mpact we added the % COVID affected population of the 13 states and calculated</w:t>
      </w:r>
      <w:r w:rsidRPr="00172AEA">
        <w:rPr>
          <w:rFonts w:ascii="Calibri" w:eastAsia="Times New Roman" w:hAnsi="Calibri" w:cs="Calibri"/>
          <w:szCs w:val="27"/>
          <w:lang w:val="en-IN" w:eastAsia="en-IN"/>
        </w:rPr>
        <w:t xml:space="preserve"> the percentage contribution of each state in it.</w:t>
      </w:r>
    </w:p>
    <w:p w14:paraId="03F4DB4E" w14:textId="1A4B1FAF" w:rsidR="00665659" w:rsidRPr="0093537A" w:rsidRDefault="00665659" w:rsidP="003F430A">
      <w:pPr>
        <w:shd w:val="clear" w:color="auto" w:fill="FFFFFF"/>
        <w:spacing w:after="0" w:line="276" w:lineRule="auto"/>
        <w:jc w:val="both"/>
        <w:rPr>
          <w:rFonts w:ascii="Calibri" w:eastAsia="Times New Roman" w:hAnsi="Calibri" w:cs="Calibri"/>
          <w:sz w:val="20"/>
          <w:szCs w:val="24"/>
          <w:lang w:val="en-IN" w:eastAsia="en-IN"/>
        </w:rPr>
      </w:pPr>
      <m:oMathPara>
        <m:oMath>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 xml:space="preserve">otal % COVID affected population= </m:t>
          </m:r>
          <m:nary>
            <m:naryPr>
              <m:chr m:val="∑"/>
              <m:limLoc m:val="undOvr"/>
              <m:ctrlPr>
                <w:rPr>
                  <w:rFonts w:ascii="Cambria Math" w:eastAsia="Times New Roman" w:hAnsi="Cambria Math" w:cs="Calibri"/>
                  <w:i/>
                  <w:sz w:val="20"/>
                  <w:szCs w:val="24"/>
                  <w:lang w:val="en-IN" w:eastAsia="en-IN"/>
                </w:rPr>
              </m:ctrlPr>
            </m:naryPr>
            <m:sub>
              <m:r>
                <w:rPr>
                  <w:rFonts w:ascii="Cambria Math" w:eastAsia="Times New Roman" w:hAnsi="Cambria Math" w:cs="Calibri"/>
                  <w:sz w:val="20"/>
                  <w:szCs w:val="24"/>
                  <w:lang w:val="en-IN" w:eastAsia="en-IN"/>
                </w:rPr>
                <m:t>i=1</m:t>
              </m:r>
            </m:sub>
            <m:sup>
              <m:r>
                <w:rPr>
                  <w:rFonts w:ascii="Cambria Math" w:eastAsia="Times New Roman" w:hAnsi="Cambria Math" w:cs="Calibri"/>
                  <w:sz w:val="20"/>
                  <w:szCs w:val="24"/>
                  <w:lang w:val="en-IN" w:eastAsia="en-IN"/>
                </w:rPr>
                <m:t>13</m:t>
              </m:r>
            </m:sup>
            <m:e>
              <m:r>
                <w:rPr>
                  <w:rFonts w:ascii="Cambria Math" w:eastAsia="Times New Roman" w:hAnsi="Cambria Math" w:cs="Calibri"/>
                  <w:sz w:val="20"/>
                  <w:szCs w:val="24"/>
                  <w:lang w:val="en-IN" w:eastAsia="en-IN"/>
                </w:rPr>
                <m:t xml:space="preserve">% COVID affected population of </m:t>
              </m:r>
              <m:sSub>
                <m:sSubPr>
                  <m:ctrlPr>
                    <w:rPr>
                      <w:rFonts w:ascii="Cambria Math" w:eastAsia="Times New Roman" w:hAnsi="Cambria Math" w:cs="Calibri"/>
                      <w:i/>
                      <w:sz w:val="20"/>
                      <w:szCs w:val="24"/>
                      <w:lang w:val="en-IN" w:eastAsia="en-IN"/>
                    </w:rPr>
                  </m:ctrlPr>
                </m:sSubPr>
                <m:e>
                  <m:r>
                    <w:rPr>
                      <w:rFonts w:ascii="Cambria Math" w:eastAsia="Times New Roman" w:hAnsi="Cambria Math" w:cs="Calibri"/>
                      <w:sz w:val="20"/>
                      <w:szCs w:val="24"/>
                      <w:lang w:val="en-IN" w:eastAsia="en-IN"/>
                    </w:rPr>
                    <m:t>state</m:t>
                  </m:r>
                </m:e>
                <m:sub>
                  <m:r>
                    <w:rPr>
                      <w:rFonts w:ascii="Cambria Math" w:eastAsia="Times New Roman" w:hAnsi="Cambria Math" w:cs="Calibri"/>
                      <w:sz w:val="20"/>
                      <w:szCs w:val="24"/>
                      <w:lang w:val="en-IN" w:eastAsia="en-IN"/>
                    </w:rPr>
                    <m:t>i</m:t>
                  </m:r>
                </m:sub>
              </m:sSub>
            </m:e>
          </m:nary>
        </m:oMath>
      </m:oMathPara>
    </w:p>
    <w:p w14:paraId="61958556" w14:textId="77777777" w:rsidR="0093537A" w:rsidRPr="0093537A" w:rsidRDefault="0093537A" w:rsidP="003F430A">
      <w:pPr>
        <w:shd w:val="clear" w:color="auto" w:fill="FFFFFF"/>
        <w:spacing w:after="0" w:line="240" w:lineRule="auto"/>
        <w:jc w:val="both"/>
        <w:rPr>
          <w:rFonts w:ascii="Calibri" w:eastAsia="Times New Roman" w:hAnsi="Calibri" w:cs="Calibri"/>
          <w:sz w:val="20"/>
          <w:szCs w:val="24"/>
          <w:lang w:val="en-IN" w:eastAsia="en-IN"/>
        </w:rPr>
      </w:pPr>
    </w:p>
    <w:p w14:paraId="75BCBE49" w14:textId="1576864D" w:rsidR="0093537A" w:rsidRPr="00935FF9" w:rsidRDefault="0093537A"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contribution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 COVID affected population of the state</m:t>
              </m:r>
            </m:num>
            <m:den>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otal % COVID affected population</m:t>
              </m:r>
            </m:den>
          </m:f>
          <m:r>
            <w:rPr>
              <w:rFonts w:ascii="Cambria Math" w:eastAsia="Times New Roman" w:hAnsi="Cambria Math" w:cs="Calibri"/>
              <w:sz w:val="20"/>
              <w:szCs w:val="24"/>
              <w:lang w:val="en-IN" w:eastAsia="en-IN"/>
            </w:rPr>
            <m:t xml:space="preserve"> ×100</m:t>
          </m:r>
        </m:oMath>
      </m:oMathPara>
    </w:p>
    <w:p w14:paraId="2E04CA53"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08D2A70D"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145F497C" w14:textId="2692D086" w:rsidR="00935FF9" w:rsidRPr="00935FF9" w:rsidRDefault="00935FF9" w:rsidP="00935FF9">
      <w:pPr>
        <w:shd w:val="clear" w:color="auto" w:fill="FFFFFF"/>
        <w:spacing w:after="0" w:line="240" w:lineRule="auto"/>
        <w:jc w:val="center"/>
        <w:rPr>
          <w:rFonts w:ascii="Calibri" w:eastAsia="Times New Roman" w:hAnsi="Calibri" w:cs="Calibri"/>
          <w:sz w:val="20"/>
          <w:szCs w:val="24"/>
          <w:u w:val="single"/>
          <w:lang w:val="en-IN" w:eastAsia="en-IN"/>
        </w:rPr>
      </w:pPr>
      <w:r w:rsidRPr="00935FF9">
        <w:rPr>
          <w:rFonts w:ascii="Calibri" w:eastAsia="Times New Roman" w:hAnsi="Calibri" w:cs="Calibri"/>
          <w:sz w:val="20"/>
          <w:szCs w:val="24"/>
          <w:u w:val="single"/>
          <w:lang w:val="en-IN" w:eastAsia="en-IN"/>
        </w:rPr>
        <w:t>Table 1</w:t>
      </w:r>
    </w:p>
    <w:tbl>
      <w:tblPr>
        <w:tblpPr w:leftFromText="180" w:rightFromText="180" w:vertAnchor="text" w:horzAnchor="margin" w:tblpXSpec="center" w:tblpY="232"/>
        <w:tblW w:w="9122" w:type="dxa"/>
        <w:tblLook w:val="04A0" w:firstRow="1" w:lastRow="0" w:firstColumn="1" w:lastColumn="0" w:noHBand="0" w:noVBand="1"/>
      </w:tblPr>
      <w:tblGrid>
        <w:gridCol w:w="1951"/>
        <w:gridCol w:w="1161"/>
        <w:gridCol w:w="1457"/>
        <w:gridCol w:w="1457"/>
        <w:gridCol w:w="1457"/>
        <w:gridCol w:w="1639"/>
      </w:tblGrid>
      <w:tr w:rsidR="00ED7C2F" w:rsidRPr="00ED7C2F" w14:paraId="71A93A83" w14:textId="77777777" w:rsidTr="00A05A7B">
        <w:trPr>
          <w:trHeight w:val="992"/>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B4B6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xml:space="preserve">State </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5EC83F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Confirmed COVID cases</w:t>
            </w:r>
          </w:p>
        </w:tc>
        <w:tc>
          <w:tcPr>
            <w:tcW w:w="1457" w:type="dxa"/>
            <w:tcBorders>
              <w:top w:val="single" w:sz="4" w:space="0" w:color="auto"/>
              <w:left w:val="nil"/>
              <w:bottom w:val="single" w:sz="4" w:space="0" w:color="auto"/>
              <w:right w:val="single" w:sz="4" w:space="0" w:color="auto"/>
            </w:tcBorders>
            <w:shd w:val="clear" w:color="auto" w:fill="auto"/>
            <w:noWrap/>
            <w:vAlign w:val="center"/>
            <w:hideMark/>
          </w:tcPr>
          <w:p w14:paraId="4327BC0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Population</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66642384" w14:textId="3FF1C4D5"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%COVID cases in the state</w:t>
            </w:r>
            <w:r w:rsidR="00935FF9">
              <w:rPr>
                <w:rFonts w:ascii="Calibri" w:eastAsia="Times New Roman" w:hAnsi="Calibri" w:cs="Calibri"/>
                <w:color w:val="000000"/>
                <w:lang w:val="en-IN" w:eastAsia="en-IN"/>
              </w:rPr>
              <w:t xml:space="preserve"> (A)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2AB35E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COVID affected population</w:t>
            </w:r>
          </w:p>
        </w:tc>
        <w:tc>
          <w:tcPr>
            <w:tcW w:w="1639" w:type="dxa"/>
            <w:tcBorders>
              <w:top w:val="single" w:sz="4" w:space="0" w:color="auto"/>
              <w:left w:val="nil"/>
              <w:bottom w:val="single" w:sz="4" w:space="0" w:color="auto"/>
              <w:right w:val="single" w:sz="4" w:space="0" w:color="auto"/>
            </w:tcBorders>
            <w:shd w:val="clear" w:color="auto" w:fill="auto"/>
            <w:vAlign w:val="center"/>
            <w:hideMark/>
          </w:tcPr>
          <w:p w14:paraId="3E482B13" w14:textId="3A7F47C9"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Contribution of the state to the total % COVID affected population</w:t>
            </w:r>
            <w:r w:rsidR="00935FF9">
              <w:rPr>
                <w:rFonts w:ascii="Calibri" w:eastAsia="Times New Roman" w:hAnsi="Calibri" w:cs="Calibri"/>
                <w:color w:val="000000"/>
                <w:lang w:val="en-IN" w:eastAsia="en-IN"/>
              </w:rPr>
              <w:t xml:space="preserve"> (B)</w:t>
            </w:r>
          </w:p>
        </w:tc>
      </w:tr>
      <w:tr w:rsidR="00ED7C2F" w:rsidRPr="00ED7C2F" w14:paraId="55121DD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4369F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MAHARASHTRA</w:t>
            </w:r>
          </w:p>
        </w:tc>
        <w:tc>
          <w:tcPr>
            <w:tcW w:w="1161" w:type="dxa"/>
            <w:tcBorders>
              <w:top w:val="nil"/>
              <w:left w:val="nil"/>
              <w:bottom w:val="single" w:sz="4" w:space="0" w:color="auto"/>
              <w:right w:val="single" w:sz="4" w:space="0" w:color="auto"/>
            </w:tcBorders>
            <w:shd w:val="clear" w:color="auto" w:fill="auto"/>
            <w:noWrap/>
            <w:vAlign w:val="bottom"/>
            <w:hideMark/>
          </w:tcPr>
          <w:p w14:paraId="3E9CC6F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67655</w:t>
            </w:r>
          </w:p>
        </w:tc>
        <w:tc>
          <w:tcPr>
            <w:tcW w:w="1457" w:type="dxa"/>
            <w:tcBorders>
              <w:top w:val="nil"/>
              <w:left w:val="nil"/>
              <w:bottom w:val="single" w:sz="4" w:space="0" w:color="auto"/>
              <w:right w:val="single" w:sz="4" w:space="0" w:color="auto"/>
            </w:tcBorders>
            <w:shd w:val="clear" w:color="auto" w:fill="auto"/>
            <w:noWrap/>
            <w:vAlign w:val="bottom"/>
            <w:hideMark/>
          </w:tcPr>
          <w:p w14:paraId="1F89257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123144223</w:t>
            </w:r>
          </w:p>
        </w:tc>
        <w:tc>
          <w:tcPr>
            <w:tcW w:w="1457" w:type="dxa"/>
            <w:tcBorders>
              <w:top w:val="nil"/>
              <w:left w:val="nil"/>
              <w:bottom w:val="single" w:sz="4" w:space="0" w:color="auto"/>
              <w:right w:val="single" w:sz="4" w:space="0" w:color="auto"/>
            </w:tcBorders>
            <w:shd w:val="clear" w:color="auto" w:fill="auto"/>
            <w:noWrap/>
            <w:vAlign w:val="bottom"/>
            <w:hideMark/>
          </w:tcPr>
          <w:p w14:paraId="6B6EB06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38.95%</w:t>
            </w:r>
          </w:p>
        </w:tc>
        <w:tc>
          <w:tcPr>
            <w:tcW w:w="1457" w:type="dxa"/>
            <w:tcBorders>
              <w:top w:val="nil"/>
              <w:left w:val="nil"/>
              <w:bottom w:val="single" w:sz="4" w:space="0" w:color="auto"/>
              <w:right w:val="single" w:sz="4" w:space="0" w:color="auto"/>
            </w:tcBorders>
            <w:shd w:val="clear" w:color="auto" w:fill="auto"/>
            <w:noWrap/>
            <w:vAlign w:val="bottom"/>
            <w:hideMark/>
          </w:tcPr>
          <w:p w14:paraId="107324E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0.0549</w:t>
            </w:r>
          </w:p>
        </w:tc>
        <w:tc>
          <w:tcPr>
            <w:tcW w:w="1639" w:type="dxa"/>
            <w:tcBorders>
              <w:top w:val="nil"/>
              <w:left w:val="nil"/>
              <w:bottom w:val="single" w:sz="4" w:space="0" w:color="auto"/>
              <w:right w:val="single" w:sz="4" w:space="0" w:color="auto"/>
            </w:tcBorders>
            <w:shd w:val="clear" w:color="auto" w:fill="auto"/>
            <w:noWrap/>
            <w:vAlign w:val="bottom"/>
            <w:hideMark/>
          </w:tcPr>
          <w:p w14:paraId="2C5BB3E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20.11%</w:t>
            </w:r>
          </w:p>
        </w:tc>
      </w:tr>
      <w:tr w:rsidR="00ED7C2F" w:rsidRPr="00ED7C2F" w14:paraId="287F5CF1"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30F379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TAMIL NADU</w:t>
            </w:r>
          </w:p>
        </w:tc>
        <w:tc>
          <w:tcPr>
            <w:tcW w:w="1161" w:type="dxa"/>
            <w:tcBorders>
              <w:top w:val="nil"/>
              <w:left w:val="nil"/>
              <w:bottom w:val="single" w:sz="4" w:space="0" w:color="auto"/>
              <w:right w:val="single" w:sz="4" w:space="0" w:color="auto"/>
            </w:tcBorders>
            <w:shd w:val="clear" w:color="auto" w:fill="auto"/>
            <w:noWrap/>
            <w:vAlign w:val="bottom"/>
            <w:hideMark/>
          </w:tcPr>
          <w:p w14:paraId="69D4731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23495</w:t>
            </w:r>
          </w:p>
        </w:tc>
        <w:tc>
          <w:tcPr>
            <w:tcW w:w="1457" w:type="dxa"/>
            <w:tcBorders>
              <w:top w:val="nil"/>
              <w:left w:val="nil"/>
              <w:bottom w:val="single" w:sz="4" w:space="0" w:color="auto"/>
              <w:right w:val="single" w:sz="4" w:space="0" w:color="auto"/>
            </w:tcBorders>
            <w:shd w:val="clear" w:color="auto" w:fill="auto"/>
            <w:noWrap/>
            <w:vAlign w:val="bottom"/>
            <w:hideMark/>
          </w:tcPr>
          <w:p w14:paraId="164F63D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77841267</w:t>
            </w:r>
          </w:p>
        </w:tc>
        <w:tc>
          <w:tcPr>
            <w:tcW w:w="1457" w:type="dxa"/>
            <w:tcBorders>
              <w:top w:val="nil"/>
              <w:left w:val="nil"/>
              <w:bottom w:val="single" w:sz="4" w:space="0" w:color="auto"/>
              <w:right w:val="single" w:sz="4" w:space="0" w:color="auto"/>
            </w:tcBorders>
            <w:shd w:val="clear" w:color="auto" w:fill="auto"/>
            <w:noWrap/>
            <w:vAlign w:val="bottom"/>
            <w:hideMark/>
          </w:tcPr>
          <w:p w14:paraId="7EB6E57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13.53%</w:t>
            </w:r>
          </w:p>
        </w:tc>
        <w:tc>
          <w:tcPr>
            <w:tcW w:w="1457" w:type="dxa"/>
            <w:tcBorders>
              <w:top w:val="nil"/>
              <w:left w:val="nil"/>
              <w:bottom w:val="single" w:sz="4" w:space="0" w:color="auto"/>
              <w:right w:val="single" w:sz="4" w:space="0" w:color="auto"/>
            </w:tcBorders>
            <w:shd w:val="clear" w:color="auto" w:fill="auto"/>
            <w:noWrap/>
            <w:vAlign w:val="bottom"/>
            <w:hideMark/>
          </w:tcPr>
          <w:p w14:paraId="498DA0F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0.0302</w:t>
            </w:r>
          </w:p>
        </w:tc>
        <w:tc>
          <w:tcPr>
            <w:tcW w:w="1639" w:type="dxa"/>
            <w:tcBorders>
              <w:top w:val="nil"/>
              <w:left w:val="nil"/>
              <w:bottom w:val="single" w:sz="4" w:space="0" w:color="auto"/>
              <w:right w:val="single" w:sz="4" w:space="0" w:color="auto"/>
            </w:tcBorders>
            <w:shd w:val="clear" w:color="auto" w:fill="auto"/>
            <w:noWrap/>
            <w:vAlign w:val="bottom"/>
            <w:hideMark/>
          </w:tcPr>
          <w:p w14:paraId="5965912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11.05%</w:t>
            </w:r>
          </w:p>
        </w:tc>
      </w:tr>
      <w:tr w:rsidR="00ED7C2F" w:rsidRPr="00ED7C2F" w14:paraId="2D23CAF8"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91D4B1D" w14:textId="68E09D10"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DELHI</w:t>
            </w:r>
          </w:p>
        </w:tc>
        <w:tc>
          <w:tcPr>
            <w:tcW w:w="1161" w:type="dxa"/>
            <w:tcBorders>
              <w:top w:val="nil"/>
              <w:left w:val="nil"/>
              <w:bottom w:val="single" w:sz="4" w:space="0" w:color="auto"/>
              <w:right w:val="single" w:sz="4" w:space="0" w:color="auto"/>
            </w:tcBorders>
            <w:shd w:val="clear" w:color="auto" w:fill="auto"/>
            <w:noWrap/>
            <w:vAlign w:val="bottom"/>
            <w:hideMark/>
          </w:tcPr>
          <w:p w14:paraId="33D76EE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19844</w:t>
            </w:r>
          </w:p>
        </w:tc>
        <w:tc>
          <w:tcPr>
            <w:tcW w:w="1457" w:type="dxa"/>
            <w:tcBorders>
              <w:top w:val="nil"/>
              <w:left w:val="nil"/>
              <w:bottom w:val="single" w:sz="4" w:space="0" w:color="auto"/>
              <w:right w:val="single" w:sz="4" w:space="0" w:color="auto"/>
            </w:tcBorders>
            <w:shd w:val="clear" w:color="auto" w:fill="auto"/>
            <w:noWrap/>
            <w:vAlign w:val="bottom"/>
            <w:hideMark/>
          </w:tcPr>
          <w:p w14:paraId="6AC665D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18710922</w:t>
            </w:r>
          </w:p>
        </w:tc>
        <w:tc>
          <w:tcPr>
            <w:tcW w:w="1457" w:type="dxa"/>
            <w:tcBorders>
              <w:top w:val="nil"/>
              <w:left w:val="nil"/>
              <w:bottom w:val="single" w:sz="4" w:space="0" w:color="auto"/>
              <w:right w:val="single" w:sz="4" w:space="0" w:color="auto"/>
            </w:tcBorders>
            <w:shd w:val="clear" w:color="auto" w:fill="auto"/>
            <w:noWrap/>
            <w:vAlign w:val="bottom"/>
            <w:hideMark/>
          </w:tcPr>
          <w:p w14:paraId="583CCA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11.43%</w:t>
            </w:r>
          </w:p>
        </w:tc>
        <w:tc>
          <w:tcPr>
            <w:tcW w:w="1457" w:type="dxa"/>
            <w:tcBorders>
              <w:top w:val="nil"/>
              <w:left w:val="nil"/>
              <w:bottom w:val="single" w:sz="4" w:space="0" w:color="auto"/>
              <w:right w:val="single" w:sz="4" w:space="0" w:color="auto"/>
            </w:tcBorders>
            <w:shd w:val="clear" w:color="auto" w:fill="auto"/>
            <w:noWrap/>
            <w:vAlign w:val="bottom"/>
            <w:hideMark/>
          </w:tcPr>
          <w:p w14:paraId="2F3F1BC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0.1061</w:t>
            </w:r>
          </w:p>
        </w:tc>
        <w:tc>
          <w:tcPr>
            <w:tcW w:w="1639" w:type="dxa"/>
            <w:tcBorders>
              <w:top w:val="nil"/>
              <w:left w:val="nil"/>
              <w:bottom w:val="single" w:sz="4" w:space="0" w:color="auto"/>
              <w:right w:val="single" w:sz="4" w:space="0" w:color="auto"/>
            </w:tcBorders>
            <w:shd w:val="clear" w:color="auto" w:fill="auto"/>
            <w:noWrap/>
            <w:vAlign w:val="bottom"/>
            <w:hideMark/>
          </w:tcPr>
          <w:p w14:paraId="2319BA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38.82%</w:t>
            </w:r>
          </w:p>
        </w:tc>
      </w:tr>
      <w:tr w:rsidR="00ED7C2F" w:rsidRPr="00ED7C2F" w14:paraId="71306B2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12E558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GUJARAT</w:t>
            </w:r>
          </w:p>
        </w:tc>
        <w:tc>
          <w:tcPr>
            <w:tcW w:w="1161" w:type="dxa"/>
            <w:tcBorders>
              <w:top w:val="nil"/>
              <w:left w:val="nil"/>
              <w:bottom w:val="single" w:sz="4" w:space="0" w:color="auto"/>
              <w:right w:val="single" w:sz="4" w:space="0" w:color="auto"/>
            </w:tcBorders>
            <w:shd w:val="clear" w:color="auto" w:fill="auto"/>
            <w:noWrap/>
            <w:vAlign w:val="bottom"/>
            <w:hideMark/>
          </w:tcPr>
          <w:p w14:paraId="7993CFD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16794</w:t>
            </w:r>
          </w:p>
        </w:tc>
        <w:tc>
          <w:tcPr>
            <w:tcW w:w="1457" w:type="dxa"/>
            <w:tcBorders>
              <w:top w:val="nil"/>
              <w:left w:val="nil"/>
              <w:bottom w:val="single" w:sz="4" w:space="0" w:color="auto"/>
              <w:right w:val="single" w:sz="4" w:space="0" w:color="auto"/>
            </w:tcBorders>
            <w:shd w:val="clear" w:color="auto" w:fill="auto"/>
            <w:noWrap/>
            <w:vAlign w:val="bottom"/>
            <w:hideMark/>
          </w:tcPr>
          <w:p w14:paraId="3698727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63872399</w:t>
            </w:r>
          </w:p>
        </w:tc>
        <w:tc>
          <w:tcPr>
            <w:tcW w:w="1457" w:type="dxa"/>
            <w:tcBorders>
              <w:top w:val="nil"/>
              <w:left w:val="nil"/>
              <w:bottom w:val="single" w:sz="4" w:space="0" w:color="auto"/>
              <w:right w:val="single" w:sz="4" w:space="0" w:color="auto"/>
            </w:tcBorders>
            <w:shd w:val="clear" w:color="auto" w:fill="auto"/>
            <w:noWrap/>
            <w:vAlign w:val="bottom"/>
            <w:hideMark/>
          </w:tcPr>
          <w:p w14:paraId="116C55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9.67%</w:t>
            </w:r>
          </w:p>
        </w:tc>
        <w:tc>
          <w:tcPr>
            <w:tcW w:w="1457" w:type="dxa"/>
            <w:tcBorders>
              <w:top w:val="nil"/>
              <w:left w:val="nil"/>
              <w:bottom w:val="single" w:sz="4" w:space="0" w:color="auto"/>
              <w:right w:val="single" w:sz="4" w:space="0" w:color="auto"/>
            </w:tcBorders>
            <w:shd w:val="clear" w:color="auto" w:fill="auto"/>
            <w:noWrap/>
            <w:vAlign w:val="bottom"/>
            <w:hideMark/>
          </w:tcPr>
          <w:p w14:paraId="040631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0.0263</w:t>
            </w:r>
          </w:p>
        </w:tc>
        <w:tc>
          <w:tcPr>
            <w:tcW w:w="1639" w:type="dxa"/>
            <w:tcBorders>
              <w:top w:val="nil"/>
              <w:left w:val="nil"/>
              <w:bottom w:val="single" w:sz="4" w:space="0" w:color="auto"/>
              <w:right w:val="single" w:sz="4" w:space="0" w:color="auto"/>
            </w:tcBorders>
            <w:shd w:val="clear" w:color="auto" w:fill="auto"/>
            <w:noWrap/>
            <w:vAlign w:val="bottom"/>
            <w:hideMark/>
          </w:tcPr>
          <w:p w14:paraId="7CAF6E8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9.63%</w:t>
            </w:r>
          </w:p>
        </w:tc>
      </w:tr>
      <w:tr w:rsidR="00ED7C2F" w:rsidRPr="00ED7C2F" w14:paraId="2752110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698C0B9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RAJASTHAN</w:t>
            </w:r>
          </w:p>
        </w:tc>
        <w:tc>
          <w:tcPr>
            <w:tcW w:w="1161" w:type="dxa"/>
            <w:tcBorders>
              <w:top w:val="nil"/>
              <w:left w:val="nil"/>
              <w:bottom w:val="single" w:sz="4" w:space="0" w:color="auto"/>
              <w:right w:val="single" w:sz="4" w:space="0" w:color="auto"/>
            </w:tcBorders>
            <w:shd w:val="clear" w:color="auto" w:fill="auto"/>
            <w:noWrap/>
            <w:vAlign w:val="bottom"/>
            <w:hideMark/>
          </w:tcPr>
          <w:p w14:paraId="3CA577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8980</w:t>
            </w:r>
          </w:p>
        </w:tc>
        <w:tc>
          <w:tcPr>
            <w:tcW w:w="1457" w:type="dxa"/>
            <w:tcBorders>
              <w:top w:val="nil"/>
              <w:left w:val="nil"/>
              <w:bottom w:val="single" w:sz="4" w:space="0" w:color="auto"/>
              <w:right w:val="single" w:sz="4" w:space="0" w:color="auto"/>
            </w:tcBorders>
            <w:shd w:val="clear" w:color="auto" w:fill="auto"/>
            <w:noWrap/>
            <w:vAlign w:val="bottom"/>
            <w:hideMark/>
          </w:tcPr>
          <w:p w14:paraId="32F5767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81032689</w:t>
            </w:r>
          </w:p>
        </w:tc>
        <w:tc>
          <w:tcPr>
            <w:tcW w:w="1457" w:type="dxa"/>
            <w:tcBorders>
              <w:top w:val="nil"/>
              <w:left w:val="nil"/>
              <w:bottom w:val="single" w:sz="4" w:space="0" w:color="auto"/>
              <w:right w:val="single" w:sz="4" w:space="0" w:color="auto"/>
            </w:tcBorders>
            <w:shd w:val="clear" w:color="auto" w:fill="auto"/>
            <w:noWrap/>
            <w:vAlign w:val="bottom"/>
            <w:hideMark/>
          </w:tcPr>
          <w:p w14:paraId="0DCD964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5.17%</w:t>
            </w:r>
          </w:p>
        </w:tc>
        <w:tc>
          <w:tcPr>
            <w:tcW w:w="1457" w:type="dxa"/>
            <w:tcBorders>
              <w:top w:val="nil"/>
              <w:left w:val="nil"/>
              <w:bottom w:val="single" w:sz="4" w:space="0" w:color="auto"/>
              <w:right w:val="single" w:sz="4" w:space="0" w:color="auto"/>
            </w:tcBorders>
            <w:shd w:val="clear" w:color="auto" w:fill="auto"/>
            <w:noWrap/>
            <w:vAlign w:val="bottom"/>
            <w:hideMark/>
          </w:tcPr>
          <w:p w14:paraId="230A273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0.0111</w:t>
            </w:r>
          </w:p>
        </w:tc>
        <w:tc>
          <w:tcPr>
            <w:tcW w:w="1639" w:type="dxa"/>
            <w:tcBorders>
              <w:top w:val="nil"/>
              <w:left w:val="nil"/>
              <w:bottom w:val="single" w:sz="4" w:space="0" w:color="auto"/>
              <w:right w:val="single" w:sz="4" w:space="0" w:color="auto"/>
            </w:tcBorders>
            <w:shd w:val="clear" w:color="auto" w:fill="auto"/>
            <w:noWrap/>
            <w:vAlign w:val="bottom"/>
            <w:hideMark/>
          </w:tcPr>
          <w:p w14:paraId="578F162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4.06%</w:t>
            </w:r>
          </w:p>
        </w:tc>
      </w:tr>
      <w:tr w:rsidR="00ED7C2F" w:rsidRPr="00ED7C2F" w14:paraId="503FFAFD"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26486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MADHYA PRADESH</w:t>
            </w:r>
          </w:p>
        </w:tc>
        <w:tc>
          <w:tcPr>
            <w:tcW w:w="1161" w:type="dxa"/>
            <w:tcBorders>
              <w:top w:val="nil"/>
              <w:left w:val="nil"/>
              <w:bottom w:val="single" w:sz="4" w:space="0" w:color="auto"/>
              <w:right w:val="single" w:sz="4" w:space="0" w:color="auto"/>
            </w:tcBorders>
            <w:shd w:val="clear" w:color="auto" w:fill="auto"/>
            <w:noWrap/>
            <w:vAlign w:val="bottom"/>
            <w:hideMark/>
          </w:tcPr>
          <w:p w14:paraId="3598E0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8089</w:t>
            </w:r>
          </w:p>
        </w:tc>
        <w:tc>
          <w:tcPr>
            <w:tcW w:w="1457" w:type="dxa"/>
            <w:tcBorders>
              <w:top w:val="nil"/>
              <w:left w:val="nil"/>
              <w:bottom w:val="single" w:sz="4" w:space="0" w:color="auto"/>
              <w:right w:val="single" w:sz="4" w:space="0" w:color="auto"/>
            </w:tcBorders>
            <w:shd w:val="clear" w:color="auto" w:fill="auto"/>
            <w:noWrap/>
            <w:vAlign w:val="bottom"/>
            <w:hideMark/>
          </w:tcPr>
          <w:p w14:paraId="44F6F23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85358965</w:t>
            </w:r>
          </w:p>
        </w:tc>
        <w:tc>
          <w:tcPr>
            <w:tcW w:w="1457" w:type="dxa"/>
            <w:tcBorders>
              <w:top w:val="nil"/>
              <w:left w:val="nil"/>
              <w:bottom w:val="single" w:sz="4" w:space="0" w:color="auto"/>
              <w:right w:val="single" w:sz="4" w:space="0" w:color="auto"/>
            </w:tcBorders>
            <w:shd w:val="clear" w:color="auto" w:fill="auto"/>
            <w:noWrap/>
            <w:vAlign w:val="bottom"/>
            <w:hideMark/>
          </w:tcPr>
          <w:p w14:paraId="50B7452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4.66%</w:t>
            </w:r>
          </w:p>
        </w:tc>
        <w:tc>
          <w:tcPr>
            <w:tcW w:w="1457" w:type="dxa"/>
            <w:tcBorders>
              <w:top w:val="nil"/>
              <w:left w:val="nil"/>
              <w:bottom w:val="single" w:sz="4" w:space="0" w:color="auto"/>
              <w:right w:val="single" w:sz="4" w:space="0" w:color="auto"/>
            </w:tcBorders>
            <w:shd w:val="clear" w:color="auto" w:fill="auto"/>
            <w:noWrap/>
            <w:vAlign w:val="bottom"/>
            <w:hideMark/>
          </w:tcPr>
          <w:p w14:paraId="21E5D2B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0.0095</w:t>
            </w:r>
          </w:p>
        </w:tc>
        <w:tc>
          <w:tcPr>
            <w:tcW w:w="1639" w:type="dxa"/>
            <w:tcBorders>
              <w:top w:val="nil"/>
              <w:left w:val="nil"/>
              <w:bottom w:val="single" w:sz="4" w:space="0" w:color="auto"/>
              <w:right w:val="single" w:sz="4" w:space="0" w:color="auto"/>
            </w:tcBorders>
            <w:shd w:val="clear" w:color="auto" w:fill="auto"/>
            <w:noWrap/>
            <w:vAlign w:val="bottom"/>
            <w:hideMark/>
          </w:tcPr>
          <w:p w14:paraId="08D0E07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3.47%</w:t>
            </w:r>
          </w:p>
        </w:tc>
      </w:tr>
      <w:tr w:rsidR="00ED7C2F" w:rsidRPr="00ED7C2F" w14:paraId="0A6EF07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418C99D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UTTAR PRADESH</w:t>
            </w:r>
          </w:p>
        </w:tc>
        <w:tc>
          <w:tcPr>
            <w:tcW w:w="1161" w:type="dxa"/>
            <w:tcBorders>
              <w:top w:val="nil"/>
              <w:left w:val="nil"/>
              <w:bottom w:val="single" w:sz="4" w:space="0" w:color="auto"/>
              <w:right w:val="single" w:sz="4" w:space="0" w:color="auto"/>
            </w:tcBorders>
            <w:shd w:val="clear" w:color="auto" w:fill="auto"/>
            <w:noWrap/>
            <w:vAlign w:val="bottom"/>
            <w:hideMark/>
          </w:tcPr>
          <w:p w14:paraId="49F7D14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8075</w:t>
            </w:r>
          </w:p>
        </w:tc>
        <w:tc>
          <w:tcPr>
            <w:tcW w:w="1457" w:type="dxa"/>
            <w:tcBorders>
              <w:top w:val="nil"/>
              <w:left w:val="nil"/>
              <w:bottom w:val="single" w:sz="4" w:space="0" w:color="auto"/>
              <w:right w:val="single" w:sz="4" w:space="0" w:color="auto"/>
            </w:tcBorders>
            <w:shd w:val="clear" w:color="auto" w:fill="auto"/>
            <w:noWrap/>
            <w:vAlign w:val="bottom"/>
            <w:hideMark/>
          </w:tcPr>
          <w:p w14:paraId="4325A09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237882725</w:t>
            </w:r>
          </w:p>
        </w:tc>
        <w:tc>
          <w:tcPr>
            <w:tcW w:w="1457" w:type="dxa"/>
            <w:tcBorders>
              <w:top w:val="nil"/>
              <w:left w:val="nil"/>
              <w:bottom w:val="single" w:sz="4" w:space="0" w:color="auto"/>
              <w:right w:val="single" w:sz="4" w:space="0" w:color="auto"/>
            </w:tcBorders>
            <w:shd w:val="clear" w:color="auto" w:fill="auto"/>
            <w:noWrap/>
            <w:vAlign w:val="bottom"/>
            <w:hideMark/>
          </w:tcPr>
          <w:p w14:paraId="158F638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4.65%</w:t>
            </w:r>
          </w:p>
        </w:tc>
        <w:tc>
          <w:tcPr>
            <w:tcW w:w="1457" w:type="dxa"/>
            <w:tcBorders>
              <w:top w:val="nil"/>
              <w:left w:val="nil"/>
              <w:bottom w:val="single" w:sz="4" w:space="0" w:color="auto"/>
              <w:right w:val="single" w:sz="4" w:space="0" w:color="auto"/>
            </w:tcBorders>
            <w:shd w:val="clear" w:color="auto" w:fill="auto"/>
            <w:noWrap/>
            <w:vAlign w:val="bottom"/>
            <w:hideMark/>
          </w:tcPr>
          <w:p w14:paraId="38E915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0.0034</w:t>
            </w:r>
          </w:p>
        </w:tc>
        <w:tc>
          <w:tcPr>
            <w:tcW w:w="1639" w:type="dxa"/>
            <w:tcBorders>
              <w:top w:val="nil"/>
              <w:left w:val="nil"/>
              <w:bottom w:val="single" w:sz="4" w:space="0" w:color="auto"/>
              <w:right w:val="single" w:sz="4" w:space="0" w:color="auto"/>
            </w:tcBorders>
            <w:shd w:val="clear" w:color="auto" w:fill="auto"/>
            <w:noWrap/>
            <w:vAlign w:val="bottom"/>
            <w:hideMark/>
          </w:tcPr>
          <w:p w14:paraId="60F3F79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w:t>
            </w:r>
          </w:p>
        </w:tc>
      </w:tr>
      <w:tr w:rsidR="00ED7C2F" w:rsidRPr="00ED7C2F" w14:paraId="0A337C4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D0CDC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WEST BENGAL</w:t>
            </w:r>
          </w:p>
        </w:tc>
        <w:tc>
          <w:tcPr>
            <w:tcW w:w="1161" w:type="dxa"/>
            <w:tcBorders>
              <w:top w:val="nil"/>
              <w:left w:val="nil"/>
              <w:bottom w:val="single" w:sz="4" w:space="0" w:color="auto"/>
              <w:right w:val="single" w:sz="4" w:space="0" w:color="auto"/>
            </w:tcBorders>
            <w:shd w:val="clear" w:color="auto" w:fill="auto"/>
            <w:noWrap/>
            <w:vAlign w:val="bottom"/>
            <w:hideMark/>
          </w:tcPr>
          <w:p w14:paraId="5184510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5501</w:t>
            </w:r>
          </w:p>
        </w:tc>
        <w:tc>
          <w:tcPr>
            <w:tcW w:w="1457" w:type="dxa"/>
            <w:tcBorders>
              <w:top w:val="nil"/>
              <w:left w:val="nil"/>
              <w:bottom w:val="single" w:sz="4" w:space="0" w:color="auto"/>
              <w:right w:val="single" w:sz="4" w:space="0" w:color="auto"/>
            </w:tcBorders>
            <w:shd w:val="clear" w:color="auto" w:fill="auto"/>
            <w:noWrap/>
            <w:vAlign w:val="bottom"/>
            <w:hideMark/>
          </w:tcPr>
          <w:p w14:paraId="5C26619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99609303</w:t>
            </w:r>
          </w:p>
        </w:tc>
        <w:tc>
          <w:tcPr>
            <w:tcW w:w="1457" w:type="dxa"/>
            <w:tcBorders>
              <w:top w:val="nil"/>
              <w:left w:val="nil"/>
              <w:bottom w:val="single" w:sz="4" w:space="0" w:color="auto"/>
              <w:right w:val="single" w:sz="4" w:space="0" w:color="auto"/>
            </w:tcBorders>
            <w:shd w:val="clear" w:color="auto" w:fill="auto"/>
            <w:noWrap/>
            <w:vAlign w:val="bottom"/>
            <w:hideMark/>
          </w:tcPr>
          <w:p w14:paraId="477A15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3.17%</w:t>
            </w:r>
          </w:p>
        </w:tc>
        <w:tc>
          <w:tcPr>
            <w:tcW w:w="1457" w:type="dxa"/>
            <w:tcBorders>
              <w:top w:val="nil"/>
              <w:left w:val="nil"/>
              <w:bottom w:val="single" w:sz="4" w:space="0" w:color="auto"/>
              <w:right w:val="single" w:sz="4" w:space="0" w:color="auto"/>
            </w:tcBorders>
            <w:shd w:val="clear" w:color="auto" w:fill="auto"/>
            <w:noWrap/>
            <w:vAlign w:val="bottom"/>
            <w:hideMark/>
          </w:tcPr>
          <w:p w14:paraId="31A7F08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0.0055</w:t>
            </w:r>
          </w:p>
        </w:tc>
        <w:tc>
          <w:tcPr>
            <w:tcW w:w="1639" w:type="dxa"/>
            <w:tcBorders>
              <w:top w:val="nil"/>
              <w:left w:val="nil"/>
              <w:bottom w:val="single" w:sz="4" w:space="0" w:color="auto"/>
              <w:right w:val="single" w:sz="4" w:space="0" w:color="auto"/>
            </w:tcBorders>
            <w:shd w:val="clear" w:color="auto" w:fill="auto"/>
            <w:noWrap/>
            <w:vAlign w:val="bottom"/>
            <w:hideMark/>
          </w:tcPr>
          <w:p w14:paraId="12C427B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2.02%</w:t>
            </w:r>
          </w:p>
        </w:tc>
      </w:tr>
      <w:tr w:rsidR="00ED7C2F" w:rsidRPr="00ED7C2F" w14:paraId="669BCBF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4348F5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ANDHRA PRADESH</w:t>
            </w:r>
          </w:p>
        </w:tc>
        <w:tc>
          <w:tcPr>
            <w:tcW w:w="1161" w:type="dxa"/>
            <w:tcBorders>
              <w:top w:val="nil"/>
              <w:left w:val="nil"/>
              <w:bottom w:val="single" w:sz="4" w:space="0" w:color="auto"/>
              <w:right w:val="single" w:sz="4" w:space="0" w:color="auto"/>
            </w:tcBorders>
            <w:shd w:val="clear" w:color="auto" w:fill="auto"/>
            <w:noWrap/>
            <w:vAlign w:val="bottom"/>
            <w:hideMark/>
          </w:tcPr>
          <w:p w14:paraId="1F6C79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3676</w:t>
            </w:r>
          </w:p>
        </w:tc>
        <w:tc>
          <w:tcPr>
            <w:tcW w:w="1457" w:type="dxa"/>
            <w:tcBorders>
              <w:top w:val="nil"/>
              <w:left w:val="nil"/>
              <w:bottom w:val="single" w:sz="4" w:space="0" w:color="auto"/>
              <w:right w:val="single" w:sz="4" w:space="0" w:color="auto"/>
            </w:tcBorders>
            <w:shd w:val="clear" w:color="auto" w:fill="auto"/>
            <w:noWrap/>
            <w:vAlign w:val="bottom"/>
            <w:hideMark/>
          </w:tcPr>
          <w:p w14:paraId="1F890B3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53903393</w:t>
            </w:r>
          </w:p>
        </w:tc>
        <w:tc>
          <w:tcPr>
            <w:tcW w:w="1457" w:type="dxa"/>
            <w:tcBorders>
              <w:top w:val="nil"/>
              <w:left w:val="nil"/>
              <w:bottom w:val="single" w:sz="4" w:space="0" w:color="auto"/>
              <w:right w:val="single" w:sz="4" w:space="0" w:color="auto"/>
            </w:tcBorders>
            <w:shd w:val="clear" w:color="auto" w:fill="auto"/>
            <w:noWrap/>
            <w:vAlign w:val="bottom"/>
            <w:hideMark/>
          </w:tcPr>
          <w:p w14:paraId="6780AFE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2.12%</w:t>
            </w:r>
          </w:p>
        </w:tc>
        <w:tc>
          <w:tcPr>
            <w:tcW w:w="1457" w:type="dxa"/>
            <w:tcBorders>
              <w:top w:val="nil"/>
              <w:left w:val="nil"/>
              <w:bottom w:val="single" w:sz="4" w:space="0" w:color="auto"/>
              <w:right w:val="single" w:sz="4" w:space="0" w:color="auto"/>
            </w:tcBorders>
            <w:shd w:val="clear" w:color="auto" w:fill="auto"/>
            <w:noWrap/>
            <w:vAlign w:val="bottom"/>
            <w:hideMark/>
          </w:tcPr>
          <w:p w14:paraId="4EE8DFB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0.0068</w:t>
            </w:r>
          </w:p>
        </w:tc>
        <w:tc>
          <w:tcPr>
            <w:tcW w:w="1639" w:type="dxa"/>
            <w:tcBorders>
              <w:top w:val="nil"/>
              <w:left w:val="nil"/>
              <w:bottom w:val="single" w:sz="4" w:space="0" w:color="auto"/>
              <w:right w:val="single" w:sz="4" w:space="0" w:color="auto"/>
            </w:tcBorders>
            <w:shd w:val="clear" w:color="auto" w:fill="auto"/>
            <w:noWrap/>
            <w:vAlign w:val="bottom"/>
            <w:hideMark/>
          </w:tcPr>
          <w:p w14:paraId="56DC906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2.50%</w:t>
            </w:r>
          </w:p>
        </w:tc>
      </w:tr>
      <w:tr w:rsidR="00ED7C2F" w:rsidRPr="00ED7C2F" w14:paraId="5BD45AA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1EC2D0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BIHAR</w:t>
            </w:r>
          </w:p>
        </w:tc>
        <w:tc>
          <w:tcPr>
            <w:tcW w:w="1161" w:type="dxa"/>
            <w:tcBorders>
              <w:top w:val="nil"/>
              <w:left w:val="nil"/>
              <w:bottom w:val="single" w:sz="4" w:space="0" w:color="auto"/>
              <w:right w:val="single" w:sz="4" w:space="0" w:color="auto"/>
            </w:tcBorders>
            <w:shd w:val="clear" w:color="auto" w:fill="auto"/>
            <w:noWrap/>
            <w:vAlign w:val="bottom"/>
            <w:hideMark/>
          </w:tcPr>
          <w:p w14:paraId="5C873F4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3872</w:t>
            </w:r>
          </w:p>
        </w:tc>
        <w:tc>
          <w:tcPr>
            <w:tcW w:w="1457" w:type="dxa"/>
            <w:tcBorders>
              <w:top w:val="nil"/>
              <w:left w:val="nil"/>
              <w:bottom w:val="single" w:sz="4" w:space="0" w:color="auto"/>
              <w:right w:val="single" w:sz="4" w:space="0" w:color="auto"/>
            </w:tcBorders>
            <w:shd w:val="clear" w:color="auto" w:fill="auto"/>
            <w:noWrap/>
            <w:vAlign w:val="bottom"/>
            <w:hideMark/>
          </w:tcPr>
          <w:p w14:paraId="4B935E5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124799926</w:t>
            </w:r>
          </w:p>
        </w:tc>
        <w:tc>
          <w:tcPr>
            <w:tcW w:w="1457" w:type="dxa"/>
            <w:tcBorders>
              <w:top w:val="nil"/>
              <w:left w:val="nil"/>
              <w:bottom w:val="single" w:sz="4" w:space="0" w:color="auto"/>
              <w:right w:val="single" w:sz="4" w:space="0" w:color="auto"/>
            </w:tcBorders>
            <w:shd w:val="clear" w:color="auto" w:fill="auto"/>
            <w:noWrap/>
            <w:vAlign w:val="bottom"/>
            <w:hideMark/>
          </w:tcPr>
          <w:p w14:paraId="6F95F38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2.23%</w:t>
            </w:r>
          </w:p>
        </w:tc>
        <w:tc>
          <w:tcPr>
            <w:tcW w:w="1457" w:type="dxa"/>
            <w:tcBorders>
              <w:top w:val="nil"/>
              <w:left w:val="nil"/>
              <w:bottom w:val="single" w:sz="4" w:space="0" w:color="auto"/>
              <w:right w:val="single" w:sz="4" w:space="0" w:color="auto"/>
            </w:tcBorders>
            <w:shd w:val="clear" w:color="auto" w:fill="auto"/>
            <w:noWrap/>
            <w:vAlign w:val="bottom"/>
            <w:hideMark/>
          </w:tcPr>
          <w:p w14:paraId="66ACAB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0.0031</w:t>
            </w:r>
          </w:p>
        </w:tc>
        <w:tc>
          <w:tcPr>
            <w:tcW w:w="1639" w:type="dxa"/>
            <w:tcBorders>
              <w:top w:val="nil"/>
              <w:left w:val="nil"/>
              <w:bottom w:val="single" w:sz="4" w:space="0" w:color="auto"/>
              <w:right w:val="single" w:sz="4" w:space="0" w:color="auto"/>
            </w:tcBorders>
            <w:shd w:val="clear" w:color="auto" w:fill="auto"/>
            <w:noWrap/>
            <w:vAlign w:val="bottom"/>
            <w:hideMark/>
          </w:tcPr>
          <w:p w14:paraId="0945F4F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w:t>
            </w:r>
          </w:p>
        </w:tc>
      </w:tr>
      <w:tr w:rsidR="00ED7C2F" w:rsidRPr="00ED7C2F" w14:paraId="4BEB695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CA5F9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KERALA</w:t>
            </w:r>
          </w:p>
        </w:tc>
        <w:tc>
          <w:tcPr>
            <w:tcW w:w="1161" w:type="dxa"/>
            <w:tcBorders>
              <w:top w:val="nil"/>
              <w:left w:val="nil"/>
              <w:bottom w:val="single" w:sz="4" w:space="0" w:color="auto"/>
              <w:right w:val="single" w:sz="4" w:space="0" w:color="auto"/>
            </w:tcBorders>
            <w:shd w:val="clear" w:color="auto" w:fill="auto"/>
            <w:noWrap/>
            <w:vAlign w:val="bottom"/>
            <w:hideMark/>
          </w:tcPr>
          <w:p w14:paraId="06505FC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1327</w:t>
            </w:r>
          </w:p>
        </w:tc>
        <w:tc>
          <w:tcPr>
            <w:tcW w:w="1457" w:type="dxa"/>
            <w:tcBorders>
              <w:top w:val="nil"/>
              <w:left w:val="nil"/>
              <w:bottom w:val="single" w:sz="4" w:space="0" w:color="auto"/>
              <w:right w:val="single" w:sz="4" w:space="0" w:color="auto"/>
            </w:tcBorders>
            <w:shd w:val="clear" w:color="auto" w:fill="auto"/>
            <w:noWrap/>
            <w:vAlign w:val="bottom"/>
            <w:hideMark/>
          </w:tcPr>
          <w:p w14:paraId="54766F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35699443</w:t>
            </w:r>
          </w:p>
        </w:tc>
        <w:tc>
          <w:tcPr>
            <w:tcW w:w="1457" w:type="dxa"/>
            <w:tcBorders>
              <w:top w:val="nil"/>
              <w:left w:val="nil"/>
              <w:bottom w:val="single" w:sz="4" w:space="0" w:color="auto"/>
              <w:right w:val="single" w:sz="4" w:space="0" w:color="auto"/>
            </w:tcBorders>
            <w:shd w:val="clear" w:color="auto" w:fill="auto"/>
            <w:noWrap/>
            <w:vAlign w:val="bottom"/>
            <w:hideMark/>
          </w:tcPr>
          <w:p w14:paraId="5E8DC89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0.76%</w:t>
            </w:r>
          </w:p>
        </w:tc>
        <w:tc>
          <w:tcPr>
            <w:tcW w:w="1457" w:type="dxa"/>
            <w:tcBorders>
              <w:top w:val="nil"/>
              <w:left w:val="nil"/>
              <w:bottom w:val="single" w:sz="4" w:space="0" w:color="auto"/>
              <w:right w:val="single" w:sz="4" w:space="0" w:color="auto"/>
            </w:tcBorders>
            <w:shd w:val="clear" w:color="auto" w:fill="auto"/>
            <w:noWrap/>
            <w:vAlign w:val="bottom"/>
            <w:hideMark/>
          </w:tcPr>
          <w:p w14:paraId="005618E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0.0037</w:t>
            </w:r>
          </w:p>
        </w:tc>
        <w:tc>
          <w:tcPr>
            <w:tcW w:w="1639" w:type="dxa"/>
            <w:tcBorders>
              <w:top w:val="nil"/>
              <w:left w:val="nil"/>
              <w:bottom w:val="single" w:sz="4" w:space="0" w:color="auto"/>
              <w:right w:val="single" w:sz="4" w:space="0" w:color="auto"/>
            </w:tcBorders>
            <w:shd w:val="clear" w:color="auto" w:fill="auto"/>
            <w:noWrap/>
            <w:vAlign w:val="bottom"/>
            <w:hideMark/>
          </w:tcPr>
          <w:p w14:paraId="02066F6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1.36%</w:t>
            </w:r>
          </w:p>
        </w:tc>
      </w:tr>
      <w:tr w:rsidR="00ED7C2F" w:rsidRPr="00ED7C2F" w14:paraId="03278810"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213581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TELANGANA</w:t>
            </w:r>
          </w:p>
        </w:tc>
        <w:tc>
          <w:tcPr>
            <w:tcW w:w="1161" w:type="dxa"/>
            <w:tcBorders>
              <w:top w:val="nil"/>
              <w:left w:val="nil"/>
              <w:bottom w:val="single" w:sz="4" w:space="0" w:color="auto"/>
              <w:right w:val="single" w:sz="4" w:space="0" w:color="auto"/>
            </w:tcBorders>
            <w:shd w:val="clear" w:color="auto" w:fill="auto"/>
            <w:noWrap/>
            <w:vAlign w:val="bottom"/>
            <w:hideMark/>
          </w:tcPr>
          <w:p w14:paraId="1CBF2AB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2968</w:t>
            </w:r>
          </w:p>
        </w:tc>
        <w:tc>
          <w:tcPr>
            <w:tcW w:w="1457" w:type="dxa"/>
            <w:tcBorders>
              <w:top w:val="nil"/>
              <w:left w:val="nil"/>
              <w:bottom w:val="single" w:sz="4" w:space="0" w:color="auto"/>
              <w:right w:val="single" w:sz="4" w:space="0" w:color="auto"/>
            </w:tcBorders>
            <w:shd w:val="clear" w:color="auto" w:fill="auto"/>
            <w:noWrap/>
            <w:vAlign w:val="bottom"/>
            <w:hideMark/>
          </w:tcPr>
          <w:p w14:paraId="6CD5ABE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39362732</w:t>
            </w:r>
          </w:p>
        </w:tc>
        <w:tc>
          <w:tcPr>
            <w:tcW w:w="1457" w:type="dxa"/>
            <w:tcBorders>
              <w:top w:val="nil"/>
              <w:left w:val="nil"/>
              <w:bottom w:val="single" w:sz="4" w:space="0" w:color="auto"/>
              <w:right w:val="single" w:sz="4" w:space="0" w:color="auto"/>
            </w:tcBorders>
            <w:shd w:val="clear" w:color="auto" w:fill="auto"/>
            <w:noWrap/>
            <w:vAlign w:val="bottom"/>
            <w:hideMark/>
          </w:tcPr>
          <w:p w14:paraId="5C2FBFF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1.71%</w:t>
            </w:r>
          </w:p>
        </w:tc>
        <w:tc>
          <w:tcPr>
            <w:tcW w:w="1457" w:type="dxa"/>
            <w:tcBorders>
              <w:top w:val="nil"/>
              <w:left w:val="nil"/>
              <w:bottom w:val="single" w:sz="4" w:space="0" w:color="auto"/>
              <w:right w:val="single" w:sz="4" w:space="0" w:color="auto"/>
            </w:tcBorders>
            <w:shd w:val="clear" w:color="auto" w:fill="auto"/>
            <w:noWrap/>
            <w:vAlign w:val="bottom"/>
            <w:hideMark/>
          </w:tcPr>
          <w:p w14:paraId="2EE334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0.0075</w:t>
            </w:r>
          </w:p>
        </w:tc>
        <w:tc>
          <w:tcPr>
            <w:tcW w:w="1639" w:type="dxa"/>
            <w:tcBorders>
              <w:top w:val="nil"/>
              <w:left w:val="nil"/>
              <w:bottom w:val="single" w:sz="4" w:space="0" w:color="auto"/>
              <w:right w:val="single" w:sz="4" w:space="0" w:color="auto"/>
            </w:tcBorders>
            <w:shd w:val="clear" w:color="auto" w:fill="auto"/>
            <w:noWrap/>
            <w:vAlign w:val="bottom"/>
            <w:hideMark/>
          </w:tcPr>
          <w:p w14:paraId="5D7240A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2.76%</w:t>
            </w:r>
          </w:p>
        </w:tc>
      </w:tr>
      <w:tr w:rsidR="00ED7C2F" w:rsidRPr="00ED7C2F" w14:paraId="6BAFC01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E9B7A2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KARNATAKA</w:t>
            </w:r>
          </w:p>
        </w:tc>
        <w:tc>
          <w:tcPr>
            <w:tcW w:w="1161" w:type="dxa"/>
            <w:tcBorders>
              <w:top w:val="nil"/>
              <w:left w:val="nil"/>
              <w:bottom w:val="single" w:sz="4" w:space="0" w:color="auto"/>
              <w:right w:val="single" w:sz="4" w:space="0" w:color="auto"/>
            </w:tcBorders>
            <w:shd w:val="clear" w:color="auto" w:fill="auto"/>
            <w:noWrap/>
            <w:vAlign w:val="bottom"/>
            <w:hideMark/>
          </w:tcPr>
          <w:p w14:paraId="4DAAB1D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3408</w:t>
            </w:r>
          </w:p>
        </w:tc>
        <w:tc>
          <w:tcPr>
            <w:tcW w:w="1457" w:type="dxa"/>
            <w:tcBorders>
              <w:top w:val="nil"/>
              <w:left w:val="nil"/>
              <w:bottom w:val="single" w:sz="4" w:space="0" w:color="auto"/>
              <w:right w:val="single" w:sz="4" w:space="0" w:color="auto"/>
            </w:tcBorders>
            <w:shd w:val="clear" w:color="auto" w:fill="auto"/>
            <w:noWrap/>
            <w:vAlign w:val="bottom"/>
            <w:hideMark/>
          </w:tcPr>
          <w:p w14:paraId="28757D5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67562686</w:t>
            </w:r>
          </w:p>
        </w:tc>
        <w:tc>
          <w:tcPr>
            <w:tcW w:w="1457" w:type="dxa"/>
            <w:tcBorders>
              <w:top w:val="nil"/>
              <w:left w:val="nil"/>
              <w:bottom w:val="single" w:sz="4" w:space="0" w:color="auto"/>
              <w:right w:val="single" w:sz="4" w:space="0" w:color="auto"/>
            </w:tcBorders>
            <w:shd w:val="clear" w:color="auto" w:fill="auto"/>
            <w:noWrap/>
            <w:vAlign w:val="bottom"/>
            <w:hideMark/>
          </w:tcPr>
          <w:p w14:paraId="3E57471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1.96%</w:t>
            </w:r>
          </w:p>
        </w:tc>
        <w:tc>
          <w:tcPr>
            <w:tcW w:w="1457" w:type="dxa"/>
            <w:tcBorders>
              <w:top w:val="nil"/>
              <w:left w:val="nil"/>
              <w:bottom w:val="single" w:sz="4" w:space="0" w:color="auto"/>
              <w:right w:val="single" w:sz="4" w:space="0" w:color="auto"/>
            </w:tcBorders>
            <w:shd w:val="clear" w:color="auto" w:fill="auto"/>
            <w:noWrap/>
            <w:vAlign w:val="bottom"/>
            <w:hideMark/>
          </w:tcPr>
          <w:p w14:paraId="354EB27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0.0050</w:t>
            </w:r>
          </w:p>
        </w:tc>
        <w:tc>
          <w:tcPr>
            <w:tcW w:w="1639" w:type="dxa"/>
            <w:tcBorders>
              <w:top w:val="nil"/>
              <w:left w:val="nil"/>
              <w:bottom w:val="single" w:sz="4" w:space="0" w:color="auto"/>
              <w:right w:val="single" w:sz="4" w:space="0" w:color="auto"/>
            </w:tcBorders>
            <w:shd w:val="clear" w:color="auto" w:fill="auto"/>
            <w:noWrap/>
            <w:vAlign w:val="bottom"/>
            <w:hideMark/>
          </w:tcPr>
          <w:p w14:paraId="272258A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1.85%</w:t>
            </w:r>
          </w:p>
        </w:tc>
      </w:tr>
      <w:tr w:rsidR="00ED7C2F" w:rsidRPr="00ED7C2F" w14:paraId="7036D92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068AF0F"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TOTAL</w:t>
            </w:r>
          </w:p>
        </w:tc>
        <w:tc>
          <w:tcPr>
            <w:tcW w:w="1161" w:type="dxa"/>
            <w:tcBorders>
              <w:top w:val="nil"/>
              <w:left w:val="nil"/>
              <w:bottom w:val="single" w:sz="4" w:space="0" w:color="auto"/>
              <w:right w:val="single" w:sz="4" w:space="0" w:color="auto"/>
            </w:tcBorders>
            <w:shd w:val="clear" w:color="auto" w:fill="auto"/>
            <w:noWrap/>
            <w:vAlign w:val="bottom"/>
            <w:hideMark/>
          </w:tcPr>
          <w:p w14:paraId="5B10AC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173684</w:t>
            </w:r>
          </w:p>
        </w:tc>
        <w:tc>
          <w:tcPr>
            <w:tcW w:w="1457" w:type="dxa"/>
            <w:tcBorders>
              <w:top w:val="nil"/>
              <w:left w:val="nil"/>
              <w:bottom w:val="single" w:sz="4" w:space="0" w:color="auto"/>
              <w:right w:val="single" w:sz="4" w:space="0" w:color="auto"/>
            </w:tcBorders>
            <w:shd w:val="clear" w:color="auto" w:fill="auto"/>
            <w:noWrap/>
            <w:vAlign w:val="bottom"/>
            <w:hideMark/>
          </w:tcPr>
          <w:p w14:paraId="29B9E40A"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1108780673</w:t>
            </w:r>
          </w:p>
        </w:tc>
        <w:tc>
          <w:tcPr>
            <w:tcW w:w="1457" w:type="dxa"/>
            <w:tcBorders>
              <w:top w:val="nil"/>
              <w:left w:val="nil"/>
              <w:bottom w:val="single" w:sz="4" w:space="0" w:color="auto"/>
              <w:right w:val="single" w:sz="4" w:space="0" w:color="auto"/>
            </w:tcBorders>
            <w:shd w:val="clear" w:color="auto" w:fill="auto"/>
            <w:noWrap/>
            <w:vAlign w:val="bottom"/>
            <w:hideMark/>
          </w:tcPr>
          <w:p w14:paraId="5B6E1C89"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c>
          <w:tcPr>
            <w:tcW w:w="1457" w:type="dxa"/>
            <w:tcBorders>
              <w:top w:val="nil"/>
              <w:left w:val="nil"/>
              <w:bottom w:val="single" w:sz="4" w:space="0" w:color="auto"/>
              <w:right w:val="single" w:sz="4" w:space="0" w:color="auto"/>
            </w:tcBorders>
            <w:shd w:val="clear" w:color="auto" w:fill="auto"/>
            <w:noWrap/>
            <w:vAlign w:val="bottom"/>
            <w:hideMark/>
          </w:tcPr>
          <w:p w14:paraId="2A49A9DC"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0.2732</w:t>
            </w:r>
          </w:p>
        </w:tc>
        <w:tc>
          <w:tcPr>
            <w:tcW w:w="1639" w:type="dxa"/>
            <w:tcBorders>
              <w:top w:val="nil"/>
              <w:left w:val="nil"/>
              <w:bottom w:val="single" w:sz="4" w:space="0" w:color="auto"/>
              <w:right w:val="single" w:sz="4" w:space="0" w:color="auto"/>
            </w:tcBorders>
            <w:shd w:val="clear" w:color="auto" w:fill="auto"/>
            <w:noWrap/>
            <w:vAlign w:val="bottom"/>
            <w:hideMark/>
          </w:tcPr>
          <w:p w14:paraId="67061A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r>
    </w:tbl>
    <w:p w14:paraId="7ED8E45B" w14:textId="3566E2EE"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0EF2591" w14:textId="1D875BCF" w:rsidR="00665659" w:rsidRPr="00172AEA"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5498522D" w14:textId="4579B395"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p>
    <w:p w14:paraId="012DEFA3" w14:textId="527D4840" w:rsidR="00F426C9" w:rsidRDefault="00A05A7B" w:rsidP="003F430A">
      <w:pPr>
        <w:jc w:val="both"/>
        <w:rPr>
          <w:rFonts w:ascii="Calibri" w:eastAsia="Times New Roman" w:hAnsi="Calibri" w:cs="Calibri"/>
          <w:color w:val="000000"/>
          <w:lang w:val="en-IN" w:eastAsia="en-IN"/>
        </w:rPr>
      </w:pPr>
      <w:r>
        <w:rPr>
          <w:rFonts w:ascii="Calibri" w:hAnsi="Calibri" w:cs="Calibri"/>
          <w:szCs w:val="28"/>
        </w:rPr>
        <w:t xml:space="preserve">Using </w:t>
      </w:r>
      <w:r w:rsidR="00BF7478">
        <w:rPr>
          <w:rFonts w:ascii="Calibri" w:hAnsi="Calibri" w:cs="Calibri"/>
          <w:szCs w:val="28"/>
        </w:rPr>
        <w:t>the</w:t>
      </w:r>
      <w:r w:rsidR="00935FF9">
        <w:rPr>
          <w:rFonts w:ascii="Calibri" w:hAnsi="Calibri" w:cs="Calibri"/>
          <w:szCs w:val="28"/>
        </w:rPr>
        <w:t xml:space="preserve"> percentage of affected COVID population in the state </w:t>
      </w:r>
      <w:proofErr w:type="gramStart"/>
      <w:r w:rsidR="00935FF9">
        <w:rPr>
          <w:rFonts w:ascii="Calibri" w:hAnsi="Calibri" w:cs="Calibri"/>
          <w:szCs w:val="28"/>
        </w:rPr>
        <w:t>as a means to</w:t>
      </w:r>
      <w:proofErr w:type="gramEnd"/>
      <w:r w:rsidR="00935FF9">
        <w:rPr>
          <w:rFonts w:ascii="Calibri" w:hAnsi="Calibri" w:cs="Calibri"/>
          <w:szCs w:val="28"/>
        </w:rPr>
        <w:t xml:space="preserve"> measure the </w:t>
      </w:r>
      <w:r w:rsidR="0057267A">
        <w:rPr>
          <w:rFonts w:ascii="Calibri" w:hAnsi="Calibri" w:cs="Calibri"/>
          <w:szCs w:val="28"/>
        </w:rPr>
        <w:t>percentage</w:t>
      </w:r>
      <w:r w:rsidR="00935FF9">
        <w:rPr>
          <w:rFonts w:ascii="Calibri" w:hAnsi="Calibri" w:cs="Calibri"/>
          <w:szCs w:val="28"/>
        </w:rPr>
        <w:t xml:space="preserve"> of unpaid bank credit</w:t>
      </w:r>
      <w:r>
        <w:rPr>
          <w:rFonts w:ascii="Calibri" w:hAnsi="Calibri" w:cs="Calibri"/>
          <w:szCs w:val="28"/>
        </w:rPr>
        <w:t>, w</w:t>
      </w:r>
      <w:r w:rsidR="00F426C9">
        <w:rPr>
          <w:rFonts w:ascii="Calibri" w:hAnsi="Calibri" w:cs="Calibri"/>
          <w:szCs w:val="28"/>
        </w:rPr>
        <w:t xml:space="preserve">e </w:t>
      </w:r>
      <w:r>
        <w:rPr>
          <w:rFonts w:ascii="Calibri" w:hAnsi="Calibri" w:cs="Calibri"/>
          <w:szCs w:val="28"/>
        </w:rPr>
        <w:t>may</w:t>
      </w:r>
      <w:r w:rsidR="00F426C9">
        <w:rPr>
          <w:rFonts w:ascii="Calibri" w:hAnsi="Calibri" w:cs="Calibri"/>
          <w:szCs w:val="28"/>
        </w:rPr>
        <w:t xml:space="preserve"> conclude that </w:t>
      </w:r>
      <w:r w:rsidR="00935FF9">
        <w:rPr>
          <w:rFonts w:ascii="Calibri" w:hAnsi="Calibri" w:cs="Calibri"/>
          <w:szCs w:val="28"/>
        </w:rPr>
        <w:t>column (B) of Table 1</w:t>
      </w:r>
      <w:r w:rsidR="00BF7478">
        <w:rPr>
          <w:rFonts w:ascii="Calibri" w:eastAsia="Times New Roman" w:hAnsi="Calibri" w:cs="Calibri"/>
          <w:color w:val="000000"/>
          <w:lang w:val="en-IN" w:eastAsia="en-IN"/>
        </w:rPr>
        <w:t xml:space="preserve"> </w:t>
      </w:r>
      <w:r w:rsidR="00935FF9">
        <w:rPr>
          <w:rFonts w:ascii="Calibri" w:eastAsia="Times New Roman" w:hAnsi="Calibri" w:cs="Calibri"/>
          <w:color w:val="000000"/>
          <w:lang w:val="en-IN" w:eastAsia="en-IN"/>
        </w:rPr>
        <w:t xml:space="preserve">would </w:t>
      </w:r>
      <w:r w:rsidR="00BF7478">
        <w:rPr>
          <w:rFonts w:ascii="Calibri" w:eastAsia="Times New Roman" w:hAnsi="Calibri" w:cs="Calibri"/>
          <w:color w:val="000000"/>
          <w:lang w:val="en-IN" w:eastAsia="en-IN"/>
        </w:rPr>
        <w:t xml:space="preserve">reflect the relative impact of COVID </w:t>
      </w:r>
      <w:r w:rsidR="00F426C9">
        <w:rPr>
          <w:rFonts w:ascii="Calibri" w:eastAsia="Times New Roman" w:hAnsi="Calibri" w:cs="Calibri"/>
          <w:color w:val="000000"/>
          <w:lang w:val="en-IN" w:eastAsia="en-IN"/>
        </w:rPr>
        <w:t xml:space="preserve">on the amount of unpaid bank credit in the </w:t>
      </w:r>
      <w:r w:rsidR="00935FF9">
        <w:rPr>
          <w:rFonts w:ascii="Calibri" w:eastAsia="Times New Roman" w:hAnsi="Calibri" w:cs="Calibri"/>
          <w:color w:val="000000"/>
          <w:lang w:val="en-IN" w:eastAsia="en-IN"/>
        </w:rPr>
        <w:t xml:space="preserve">respective </w:t>
      </w:r>
      <w:r w:rsidR="00F426C9">
        <w:rPr>
          <w:rFonts w:ascii="Calibri" w:eastAsia="Times New Roman" w:hAnsi="Calibri" w:cs="Calibri"/>
          <w:color w:val="000000"/>
          <w:lang w:val="en-IN" w:eastAsia="en-IN"/>
        </w:rPr>
        <w:t>state</w:t>
      </w:r>
      <w:r w:rsidR="00935FF9">
        <w:rPr>
          <w:rFonts w:ascii="Calibri" w:eastAsia="Times New Roman" w:hAnsi="Calibri" w:cs="Calibri"/>
          <w:color w:val="000000"/>
          <w:lang w:val="en-IN" w:eastAsia="en-IN"/>
        </w:rPr>
        <w:t>s after August 2020</w:t>
      </w:r>
      <w:r w:rsidR="00F426C9">
        <w:rPr>
          <w:rFonts w:ascii="Calibri" w:eastAsia="Times New Roman" w:hAnsi="Calibri" w:cs="Calibri"/>
          <w:color w:val="000000"/>
          <w:lang w:val="en-IN" w:eastAsia="en-IN"/>
        </w:rPr>
        <w:t xml:space="preserve">. </w:t>
      </w:r>
      <w:proofErr w:type="gramStart"/>
      <w:r w:rsidR="00F426C9">
        <w:rPr>
          <w:rFonts w:ascii="Calibri" w:eastAsia="Times New Roman" w:hAnsi="Calibri" w:cs="Calibri"/>
          <w:color w:val="000000"/>
          <w:lang w:val="en-IN" w:eastAsia="en-IN"/>
        </w:rPr>
        <w:t>So</w:t>
      </w:r>
      <w:proofErr w:type="gramEnd"/>
      <w:r w:rsidR="00F426C9">
        <w:rPr>
          <w:rFonts w:ascii="Calibri" w:eastAsia="Times New Roman" w:hAnsi="Calibri" w:cs="Calibri"/>
          <w:color w:val="000000"/>
          <w:lang w:val="en-IN" w:eastAsia="en-IN"/>
        </w:rPr>
        <w:t xml:space="preserve"> more the </w:t>
      </w:r>
      <w:r w:rsidR="00935FF9">
        <w:rPr>
          <w:rFonts w:ascii="Calibri" w:eastAsia="Times New Roman" w:hAnsi="Calibri" w:cs="Calibri"/>
          <w:color w:val="000000"/>
          <w:lang w:val="en-IN" w:eastAsia="en-IN"/>
        </w:rPr>
        <w:t xml:space="preserve">value under column (B) of Table 1, </w:t>
      </w:r>
      <w:r w:rsidR="00EA1F0C">
        <w:rPr>
          <w:rFonts w:ascii="Calibri" w:eastAsia="Times New Roman" w:hAnsi="Calibri" w:cs="Calibri"/>
          <w:color w:val="000000"/>
          <w:lang w:val="en-IN" w:eastAsia="en-IN"/>
        </w:rPr>
        <w:t xml:space="preserve">more </w:t>
      </w:r>
      <w:r w:rsidR="00935FF9">
        <w:rPr>
          <w:rFonts w:ascii="Calibri" w:eastAsia="Times New Roman" w:hAnsi="Calibri" w:cs="Calibri"/>
          <w:color w:val="000000"/>
          <w:lang w:val="en-IN" w:eastAsia="en-IN"/>
        </w:rPr>
        <w:t>would be</w:t>
      </w:r>
      <w:r w:rsidR="00EA1F0C">
        <w:rPr>
          <w:rFonts w:ascii="Calibri" w:eastAsia="Times New Roman" w:hAnsi="Calibri" w:cs="Calibri"/>
          <w:color w:val="000000"/>
          <w:lang w:val="en-IN" w:eastAsia="en-IN"/>
        </w:rPr>
        <w:t xml:space="preserve"> the </w:t>
      </w:r>
      <w:r w:rsidR="00935FF9">
        <w:rPr>
          <w:rFonts w:ascii="Calibri" w:eastAsia="Times New Roman" w:hAnsi="Calibri" w:cs="Calibri"/>
          <w:color w:val="000000"/>
          <w:lang w:val="en-IN" w:eastAsia="en-IN"/>
        </w:rPr>
        <w:t xml:space="preserve">relative </w:t>
      </w:r>
      <w:r w:rsidR="00EA1F0C">
        <w:rPr>
          <w:rFonts w:ascii="Calibri" w:eastAsia="Times New Roman" w:hAnsi="Calibri" w:cs="Calibri"/>
          <w:color w:val="000000"/>
          <w:lang w:val="en-IN" w:eastAsia="en-IN"/>
        </w:rPr>
        <w:t xml:space="preserve">impact </w:t>
      </w:r>
      <w:r w:rsidR="00F426C9">
        <w:rPr>
          <w:rFonts w:ascii="Calibri" w:eastAsia="Times New Roman" w:hAnsi="Calibri" w:cs="Calibri"/>
          <w:color w:val="000000"/>
          <w:lang w:val="en-IN" w:eastAsia="en-IN"/>
        </w:rPr>
        <w:t>on the amo</w:t>
      </w:r>
      <w:r w:rsidR="00EA1F0C">
        <w:rPr>
          <w:rFonts w:ascii="Calibri" w:eastAsia="Times New Roman" w:hAnsi="Calibri" w:cs="Calibri"/>
          <w:color w:val="000000"/>
          <w:lang w:val="en-IN" w:eastAsia="en-IN"/>
        </w:rPr>
        <w:t>unt of unpaid bank credit in that particular</w:t>
      </w:r>
      <w:r w:rsidR="00F426C9">
        <w:rPr>
          <w:rFonts w:ascii="Calibri" w:eastAsia="Times New Roman" w:hAnsi="Calibri" w:cs="Calibri"/>
          <w:color w:val="000000"/>
          <w:lang w:val="en-IN" w:eastAsia="en-IN"/>
        </w:rPr>
        <w:t xml:space="preserve"> state.</w:t>
      </w:r>
    </w:p>
    <w:p w14:paraId="7897CFBA" w14:textId="454D5EC8" w:rsidR="00172AEA" w:rsidRDefault="00EA1F0C" w:rsidP="003F430A">
      <w:pPr>
        <w:jc w:val="both"/>
        <w:rPr>
          <w:rFonts w:ascii="Calibri" w:eastAsia="Times New Roman" w:hAnsi="Calibri" w:cs="Calibri"/>
          <w:color w:val="000000"/>
          <w:lang w:val="en-IN" w:eastAsia="en-IN"/>
        </w:rPr>
      </w:pPr>
      <w:r>
        <w:rPr>
          <w:rFonts w:ascii="Calibri" w:hAnsi="Calibri" w:cs="Calibri"/>
          <w:szCs w:val="28"/>
        </w:rPr>
        <w:t xml:space="preserve">For </w:t>
      </w:r>
      <w:proofErr w:type="gramStart"/>
      <w:r>
        <w:rPr>
          <w:rFonts w:ascii="Calibri" w:hAnsi="Calibri" w:cs="Calibri"/>
          <w:szCs w:val="28"/>
        </w:rPr>
        <w:t>example</w:t>
      </w:r>
      <w:proofErr w:type="gramEnd"/>
      <w:r>
        <w:rPr>
          <w:rFonts w:ascii="Calibri" w:hAnsi="Calibri" w:cs="Calibri"/>
          <w:szCs w:val="28"/>
        </w:rPr>
        <w:t xml:space="preserve"> in </w:t>
      </w:r>
      <w:r w:rsidR="00BF7478">
        <w:rPr>
          <w:rFonts w:ascii="Calibri" w:hAnsi="Calibri" w:cs="Calibri"/>
          <w:szCs w:val="28"/>
        </w:rPr>
        <w:t xml:space="preserve">the </w:t>
      </w:r>
      <w:r w:rsidR="00DD72B7">
        <w:rPr>
          <w:rFonts w:ascii="Calibri" w:hAnsi="Calibri" w:cs="Calibri"/>
          <w:szCs w:val="28"/>
        </w:rPr>
        <w:t xml:space="preserve">case of Delhi, 0.1% of the total population is affected by COVID with 19844 confirmed cases </w:t>
      </w:r>
      <w:r w:rsidR="00BF7478">
        <w:rPr>
          <w:rFonts w:ascii="Calibri" w:hAnsi="Calibri" w:cs="Calibri"/>
          <w:szCs w:val="28"/>
        </w:rPr>
        <w:t>and it contributes to about 11.43% of the total confirmed cases amongst</w:t>
      </w:r>
      <w:r>
        <w:rPr>
          <w:rFonts w:ascii="Calibri" w:hAnsi="Calibri" w:cs="Calibri"/>
          <w:szCs w:val="28"/>
        </w:rPr>
        <w:t xml:space="preserve"> the 13 states. It contributes to about 38.82% to</w:t>
      </w:r>
      <w:r w:rsidR="00F426C9" w:rsidRPr="00ED7C2F">
        <w:rPr>
          <w:rFonts w:ascii="Calibri" w:eastAsia="Times New Roman" w:hAnsi="Calibri" w:cs="Calibri"/>
          <w:color w:val="000000"/>
          <w:lang w:val="en-IN" w:eastAsia="en-IN"/>
        </w:rPr>
        <w:t xml:space="preserve"> the total % COVID affected population</w:t>
      </w:r>
      <w:r w:rsidR="00F426C9">
        <w:rPr>
          <w:rFonts w:ascii="Calibri" w:eastAsia="Times New Roman" w:hAnsi="Calibri" w:cs="Calibri"/>
          <w:color w:val="000000"/>
          <w:lang w:val="en-IN" w:eastAsia="en-IN"/>
        </w:rPr>
        <w:t xml:space="preserve">, which is the highest amongst the 13 states. </w:t>
      </w:r>
      <w:r w:rsidR="00DD72B7">
        <w:rPr>
          <w:rFonts w:ascii="Calibri" w:eastAsia="Times New Roman" w:hAnsi="Calibri" w:cs="Calibri"/>
          <w:color w:val="000000"/>
          <w:lang w:val="en-IN" w:eastAsia="en-IN"/>
        </w:rPr>
        <w:t>Therefore, we can conclude that Delhi will be the most affected state in terms unpaid bank credit due to COVID.</w:t>
      </w:r>
    </w:p>
    <w:p w14:paraId="4439FB7E" w14:textId="6BDA0CAD" w:rsidR="00EA1F0C" w:rsidRDefault="00EA1F0C"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Hence, even though Maharashtra has the highest number of confirmed COVID cases in the country, payment of bank credit</w:t>
      </w:r>
      <w:r w:rsidR="00895889">
        <w:rPr>
          <w:rFonts w:ascii="Calibri" w:eastAsia="Times New Roman" w:hAnsi="Calibri" w:cs="Calibri"/>
          <w:color w:val="000000"/>
          <w:lang w:val="en-IN" w:eastAsia="en-IN"/>
        </w:rPr>
        <w:t xml:space="preserve"> will be</w:t>
      </w:r>
      <w:r>
        <w:rPr>
          <w:rFonts w:ascii="Calibri" w:eastAsia="Times New Roman" w:hAnsi="Calibri" w:cs="Calibri"/>
          <w:color w:val="000000"/>
          <w:lang w:val="en-IN" w:eastAsia="en-IN"/>
        </w:rPr>
        <w:t xml:space="preserve"> not as affected as Delhi. This can be explained by Delhi’s higher percentage of COVID affected population of 0.1 percent compared to Maharashtra’s 0. 05 percent.</w:t>
      </w:r>
    </w:p>
    <w:p w14:paraId="44BBD3E9" w14:textId="3EF7D260" w:rsidR="00935FF9" w:rsidRDefault="00935FF9"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Table 2 provides the </w:t>
      </w:r>
      <w:r w:rsidR="00A3520C">
        <w:rPr>
          <w:rFonts w:ascii="Calibri" w:eastAsia="Times New Roman" w:hAnsi="Calibri" w:cs="Calibri"/>
          <w:color w:val="000000"/>
          <w:lang w:val="en-IN" w:eastAsia="en-IN"/>
        </w:rPr>
        <w:t>expected unpaid bank credit due to COVID post August 2020.</w:t>
      </w:r>
    </w:p>
    <w:p w14:paraId="444E8105" w14:textId="77777777" w:rsidR="00A3520C" w:rsidRDefault="00A3520C" w:rsidP="003F430A">
      <w:pPr>
        <w:jc w:val="both"/>
        <w:rPr>
          <w:rFonts w:ascii="Calibri" w:eastAsia="Times New Roman" w:hAnsi="Calibri" w:cs="Calibri"/>
          <w:color w:val="000000"/>
          <w:lang w:val="en-IN" w:eastAsia="en-IN"/>
        </w:rPr>
      </w:pPr>
    </w:p>
    <w:p w14:paraId="12B875FC" w14:textId="4992FDDE" w:rsidR="00A3520C" w:rsidRPr="00A3520C" w:rsidRDefault="00A3520C" w:rsidP="00A3520C">
      <w:pPr>
        <w:jc w:val="center"/>
        <w:rPr>
          <w:rFonts w:ascii="Calibri" w:eastAsia="Times New Roman" w:hAnsi="Calibri" w:cs="Calibri"/>
          <w:color w:val="000000"/>
          <w:u w:val="single"/>
          <w:lang w:val="en-IN" w:eastAsia="en-IN"/>
        </w:rPr>
      </w:pPr>
      <w:r w:rsidRPr="00A3520C">
        <w:rPr>
          <w:rFonts w:ascii="Calibri" w:eastAsia="Times New Roman" w:hAnsi="Calibri" w:cs="Calibri"/>
          <w:color w:val="000000"/>
          <w:u w:val="single"/>
          <w:lang w:val="en-IN" w:eastAsia="en-IN"/>
        </w:rPr>
        <w:t>Table 2</w:t>
      </w:r>
    </w:p>
    <w:sectPr w:rsidR="00A3520C" w:rsidRPr="00A3520C">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1EE9D" w14:textId="77777777" w:rsidR="002A3B8C" w:rsidRDefault="002A3B8C" w:rsidP="00E119D9">
      <w:pPr>
        <w:spacing w:after="0" w:line="240" w:lineRule="auto"/>
      </w:pPr>
      <w:r>
        <w:separator/>
      </w:r>
    </w:p>
  </w:endnote>
  <w:endnote w:type="continuationSeparator" w:id="0">
    <w:p w14:paraId="44196775" w14:textId="77777777" w:rsidR="002A3B8C" w:rsidRDefault="002A3B8C" w:rsidP="00E1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9259508"/>
      <w:docPartObj>
        <w:docPartGallery w:val="Page Numbers (Bottom of Page)"/>
        <w:docPartUnique/>
      </w:docPartObj>
    </w:sdtPr>
    <w:sdtEndPr/>
    <w:sdtContent>
      <w:p w14:paraId="68A0855B" w14:textId="489D3DA1" w:rsidR="00CA4C58" w:rsidRDefault="00CA4C58">
        <w:pPr>
          <w:pStyle w:val="Footer"/>
          <w:jc w:val="center"/>
        </w:pPr>
        <w:r>
          <w:t>[</w:t>
        </w:r>
        <w:r>
          <w:fldChar w:fldCharType="begin"/>
        </w:r>
        <w:r>
          <w:instrText xml:space="preserve"> PAGE   \* MERGEFORMAT </w:instrText>
        </w:r>
        <w:r>
          <w:fldChar w:fldCharType="separate"/>
        </w:r>
        <w:r w:rsidR="00B40933">
          <w:rPr>
            <w:noProof/>
          </w:rPr>
          <w:t>8</w:t>
        </w:r>
        <w:r>
          <w:rPr>
            <w:noProof/>
          </w:rPr>
          <w:fldChar w:fldCharType="end"/>
        </w:r>
        <w:r>
          <w:t>]</w:t>
        </w:r>
      </w:p>
    </w:sdtContent>
  </w:sdt>
  <w:p w14:paraId="62D40397" w14:textId="4974C3A3" w:rsidR="00CA4C58" w:rsidRDefault="00CA4C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69EC07" w14:textId="77777777" w:rsidR="002A3B8C" w:rsidRDefault="002A3B8C" w:rsidP="00E119D9">
      <w:pPr>
        <w:spacing w:after="0" w:line="240" w:lineRule="auto"/>
      </w:pPr>
      <w:r>
        <w:separator/>
      </w:r>
    </w:p>
  </w:footnote>
  <w:footnote w:type="continuationSeparator" w:id="0">
    <w:p w14:paraId="5B16F6BF" w14:textId="77777777" w:rsidR="002A3B8C" w:rsidRDefault="002A3B8C" w:rsidP="00E119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9D9"/>
    <w:rsid w:val="00011DB8"/>
    <w:rsid w:val="00051DAB"/>
    <w:rsid w:val="000558B1"/>
    <w:rsid w:val="00091F3C"/>
    <w:rsid w:val="000A4C23"/>
    <w:rsid w:val="000D45AB"/>
    <w:rsid w:val="000F1222"/>
    <w:rsid w:val="000F571B"/>
    <w:rsid w:val="0010401E"/>
    <w:rsid w:val="0013501B"/>
    <w:rsid w:val="00141320"/>
    <w:rsid w:val="00172AEA"/>
    <w:rsid w:val="001F62A1"/>
    <w:rsid w:val="001F63AB"/>
    <w:rsid w:val="00285925"/>
    <w:rsid w:val="002A3B8C"/>
    <w:rsid w:val="002A41E4"/>
    <w:rsid w:val="002D32BA"/>
    <w:rsid w:val="002D3899"/>
    <w:rsid w:val="0030281C"/>
    <w:rsid w:val="00322242"/>
    <w:rsid w:val="00323B14"/>
    <w:rsid w:val="00325B2E"/>
    <w:rsid w:val="0033620B"/>
    <w:rsid w:val="003538AB"/>
    <w:rsid w:val="003C30C8"/>
    <w:rsid w:val="003C41E4"/>
    <w:rsid w:val="003F1C99"/>
    <w:rsid w:val="003F430A"/>
    <w:rsid w:val="004004F6"/>
    <w:rsid w:val="00421732"/>
    <w:rsid w:val="0047366F"/>
    <w:rsid w:val="004B764C"/>
    <w:rsid w:val="005274AF"/>
    <w:rsid w:val="00550345"/>
    <w:rsid w:val="00566AF0"/>
    <w:rsid w:val="0057267A"/>
    <w:rsid w:val="005A145D"/>
    <w:rsid w:val="005B33AC"/>
    <w:rsid w:val="005C3AE7"/>
    <w:rsid w:val="005E6FE5"/>
    <w:rsid w:val="0062253F"/>
    <w:rsid w:val="0062434F"/>
    <w:rsid w:val="00640B99"/>
    <w:rsid w:val="00665659"/>
    <w:rsid w:val="00680135"/>
    <w:rsid w:val="00690E55"/>
    <w:rsid w:val="007367AF"/>
    <w:rsid w:val="00755DEB"/>
    <w:rsid w:val="00776543"/>
    <w:rsid w:val="007B0653"/>
    <w:rsid w:val="00822599"/>
    <w:rsid w:val="00842D38"/>
    <w:rsid w:val="00850E31"/>
    <w:rsid w:val="00895889"/>
    <w:rsid w:val="008A7DB6"/>
    <w:rsid w:val="00900CE2"/>
    <w:rsid w:val="009146AA"/>
    <w:rsid w:val="0093537A"/>
    <w:rsid w:val="00935FF9"/>
    <w:rsid w:val="00994508"/>
    <w:rsid w:val="009C704E"/>
    <w:rsid w:val="00A05A7B"/>
    <w:rsid w:val="00A3520C"/>
    <w:rsid w:val="00A35273"/>
    <w:rsid w:val="00A73F9B"/>
    <w:rsid w:val="00B15F8E"/>
    <w:rsid w:val="00B23A67"/>
    <w:rsid w:val="00B36020"/>
    <w:rsid w:val="00B40933"/>
    <w:rsid w:val="00B61957"/>
    <w:rsid w:val="00BC0488"/>
    <w:rsid w:val="00BE222A"/>
    <w:rsid w:val="00BF7478"/>
    <w:rsid w:val="00C25E9E"/>
    <w:rsid w:val="00C4581F"/>
    <w:rsid w:val="00C5371B"/>
    <w:rsid w:val="00C94598"/>
    <w:rsid w:val="00C94C54"/>
    <w:rsid w:val="00CA4C58"/>
    <w:rsid w:val="00CA544F"/>
    <w:rsid w:val="00D465E8"/>
    <w:rsid w:val="00D550E1"/>
    <w:rsid w:val="00D666E8"/>
    <w:rsid w:val="00D67A5D"/>
    <w:rsid w:val="00D875AB"/>
    <w:rsid w:val="00D911C5"/>
    <w:rsid w:val="00DA785D"/>
    <w:rsid w:val="00DD72B7"/>
    <w:rsid w:val="00DE6303"/>
    <w:rsid w:val="00E04B47"/>
    <w:rsid w:val="00E119D9"/>
    <w:rsid w:val="00E3526D"/>
    <w:rsid w:val="00EA1F0C"/>
    <w:rsid w:val="00ED4CE7"/>
    <w:rsid w:val="00ED7C2F"/>
    <w:rsid w:val="00EF0C9B"/>
    <w:rsid w:val="00F049D4"/>
    <w:rsid w:val="00F23639"/>
    <w:rsid w:val="00F426C9"/>
    <w:rsid w:val="00F9559D"/>
    <w:rsid w:val="00FA32E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9D03F"/>
  <w15:chartTrackingRefBased/>
  <w15:docId w15:val="{333BCECB-DF1F-4327-8CB3-BBB23054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9D9"/>
  </w:style>
  <w:style w:type="paragraph" w:styleId="Footer">
    <w:name w:val="footer"/>
    <w:basedOn w:val="Normal"/>
    <w:link w:val="FooterChar"/>
    <w:uiPriority w:val="99"/>
    <w:unhideWhenUsed/>
    <w:rsid w:val="00E11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9D9"/>
  </w:style>
  <w:style w:type="paragraph" w:styleId="ListParagraph">
    <w:name w:val="List Paragraph"/>
    <w:basedOn w:val="Normal"/>
    <w:uiPriority w:val="34"/>
    <w:qFormat/>
    <w:rsid w:val="00776543"/>
    <w:pPr>
      <w:ind w:left="720"/>
      <w:contextualSpacing/>
    </w:pPr>
  </w:style>
  <w:style w:type="character" w:styleId="PlaceholderText">
    <w:name w:val="Placeholder Text"/>
    <w:basedOn w:val="DefaultParagraphFont"/>
    <w:uiPriority w:val="99"/>
    <w:semiHidden/>
    <w:rsid w:val="00172A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190382">
      <w:bodyDiv w:val="1"/>
      <w:marLeft w:val="0"/>
      <w:marRight w:val="0"/>
      <w:marTop w:val="0"/>
      <w:marBottom w:val="0"/>
      <w:divBdr>
        <w:top w:val="none" w:sz="0" w:space="0" w:color="auto"/>
        <w:left w:val="none" w:sz="0" w:space="0" w:color="auto"/>
        <w:bottom w:val="none" w:sz="0" w:space="0" w:color="auto"/>
        <w:right w:val="none" w:sz="0" w:space="0" w:color="auto"/>
      </w:divBdr>
      <w:divsChild>
        <w:div w:id="889803910">
          <w:marLeft w:val="0"/>
          <w:marRight w:val="0"/>
          <w:marTop w:val="0"/>
          <w:marBottom w:val="0"/>
          <w:divBdr>
            <w:top w:val="none" w:sz="0" w:space="0" w:color="auto"/>
            <w:left w:val="none" w:sz="0" w:space="0" w:color="auto"/>
            <w:bottom w:val="none" w:sz="0" w:space="0" w:color="auto"/>
            <w:right w:val="none" w:sz="0" w:space="0" w:color="auto"/>
          </w:divBdr>
        </w:div>
        <w:div w:id="873344784">
          <w:marLeft w:val="0"/>
          <w:marRight w:val="0"/>
          <w:marTop w:val="0"/>
          <w:marBottom w:val="0"/>
          <w:divBdr>
            <w:top w:val="none" w:sz="0" w:space="0" w:color="auto"/>
            <w:left w:val="none" w:sz="0" w:space="0" w:color="auto"/>
            <w:bottom w:val="none" w:sz="0" w:space="0" w:color="auto"/>
            <w:right w:val="none" w:sz="0" w:space="0" w:color="auto"/>
          </w:divBdr>
        </w:div>
      </w:divsChild>
    </w:div>
    <w:div w:id="644970656">
      <w:bodyDiv w:val="1"/>
      <w:marLeft w:val="0"/>
      <w:marRight w:val="0"/>
      <w:marTop w:val="0"/>
      <w:marBottom w:val="0"/>
      <w:divBdr>
        <w:top w:val="none" w:sz="0" w:space="0" w:color="auto"/>
        <w:left w:val="none" w:sz="0" w:space="0" w:color="auto"/>
        <w:bottom w:val="none" w:sz="0" w:space="0" w:color="auto"/>
        <w:right w:val="none" w:sz="0" w:space="0" w:color="auto"/>
      </w:divBdr>
    </w:div>
    <w:div w:id="849954106">
      <w:bodyDiv w:val="1"/>
      <w:marLeft w:val="0"/>
      <w:marRight w:val="0"/>
      <w:marTop w:val="0"/>
      <w:marBottom w:val="0"/>
      <w:divBdr>
        <w:top w:val="none" w:sz="0" w:space="0" w:color="auto"/>
        <w:left w:val="none" w:sz="0" w:space="0" w:color="auto"/>
        <w:bottom w:val="none" w:sz="0" w:space="0" w:color="auto"/>
        <w:right w:val="none" w:sz="0" w:space="0" w:color="auto"/>
      </w:divBdr>
    </w:div>
    <w:div w:id="1537696580">
      <w:bodyDiv w:val="1"/>
      <w:marLeft w:val="0"/>
      <w:marRight w:val="0"/>
      <w:marTop w:val="0"/>
      <w:marBottom w:val="0"/>
      <w:divBdr>
        <w:top w:val="none" w:sz="0" w:space="0" w:color="auto"/>
        <w:left w:val="none" w:sz="0" w:space="0" w:color="auto"/>
        <w:bottom w:val="none" w:sz="0" w:space="0" w:color="auto"/>
        <w:right w:val="none" w:sz="0" w:space="0" w:color="auto"/>
      </w:divBdr>
      <w:divsChild>
        <w:div w:id="1509364274">
          <w:marLeft w:val="0"/>
          <w:marRight w:val="0"/>
          <w:marTop w:val="0"/>
          <w:marBottom w:val="0"/>
          <w:divBdr>
            <w:top w:val="none" w:sz="0" w:space="0" w:color="auto"/>
            <w:left w:val="none" w:sz="0" w:space="0" w:color="auto"/>
            <w:bottom w:val="none" w:sz="0" w:space="0" w:color="auto"/>
            <w:right w:val="none" w:sz="0" w:space="0" w:color="auto"/>
          </w:divBdr>
        </w:div>
        <w:div w:id="659967448">
          <w:marLeft w:val="0"/>
          <w:marRight w:val="0"/>
          <w:marTop w:val="0"/>
          <w:marBottom w:val="0"/>
          <w:divBdr>
            <w:top w:val="none" w:sz="0" w:space="0" w:color="auto"/>
            <w:left w:val="none" w:sz="0" w:space="0" w:color="auto"/>
            <w:bottom w:val="none" w:sz="0" w:space="0" w:color="auto"/>
            <w:right w:val="none" w:sz="0" w:space="0" w:color="auto"/>
          </w:divBdr>
        </w:div>
        <w:div w:id="2110007801">
          <w:marLeft w:val="0"/>
          <w:marRight w:val="0"/>
          <w:marTop w:val="0"/>
          <w:marBottom w:val="0"/>
          <w:divBdr>
            <w:top w:val="none" w:sz="0" w:space="0" w:color="auto"/>
            <w:left w:val="none" w:sz="0" w:space="0" w:color="auto"/>
            <w:bottom w:val="none" w:sz="0" w:space="0" w:color="auto"/>
            <w:right w:val="none" w:sz="0" w:space="0" w:color="auto"/>
          </w:divBdr>
        </w:div>
      </w:divsChild>
    </w:div>
    <w:div w:id="1539471942">
      <w:bodyDiv w:val="1"/>
      <w:marLeft w:val="0"/>
      <w:marRight w:val="0"/>
      <w:marTop w:val="0"/>
      <w:marBottom w:val="0"/>
      <w:divBdr>
        <w:top w:val="none" w:sz="0" w:space="0" w:color="auto"/>
        <w:left w:val="none" w:sz="0" w:space="0" w:color="auto"/>
        <w:bottom w:val="none" w:sz="0" w:space="0" w:color="auto"/>
        <w:right w:val="none" w:sz="0" w:space="0" w:color="auto"/>
      </w:divBdr>
    </w:div>
    <w:div w:id="1543591148">
      <w:bodyDiv w:val="1"/>
      <w:marLeft w:val="0"/>
      <w:marRight w:val="0"/>
      <w:marTop w:val="0"/>
      <w:marBottom w:val="0"/>
      <w:divBdr>
        <w:top w:val="none" w:sz="0" w:space="0" w:color="auto"/>
        <w:left w:val="none" w:sz="0" w:space="0" w:color="auto"/>
        <w:bottom w:val="none" w:sz="0" w:space="0" w:color="auto"/>
        <w:right w:val="none" w:sz="0" w:space="0" w:color="auto"/>
      </w:divBdr>
    </w:div>
    <w:div w:id="1617953236">
      <w:bodyDiv w:val="1"/>
      <w:marLeft w:val="0"/>
      <w:marRight w:val="0"/>
      <w:marTop w:val="0"/>
      <w:marBottom w:val="0"/>
      <w:divBdr>
        <w:top w:val="none" w:sz="0" w:space="0" w:color="auto"/>
        <w:left w:val="none" w:sz="0" w:space="0" w:color="auto"/>
        <w:bottom w:val="none" w:sz="0" w:space="0" w:color="auto"/>
        <w:right w:val="none" w:sz="0" w:space="0" w:color="auto"/>
      </w:divBdr>
    </w:div>
    <w:div w:id="1753428187">
      <w:bodyDiv w:val="1"/>
      <w:marLeft w:val="0"/>
      <w:marRight w:val="0"/>
      <w:marTop w:val="0"/>
      <w:marBottom w:val="0"/>
      <w:divBdr>
        <w:top w:val="none" w:sz="0" w:space="0" w:color="auto"/>
        <w:left w:val="none" w:sz="0" w:space="0" w:color="auto"/>
        <w:bottom w:val="none" w:sz="0" w:space="0" w:color="auto"/>
        <w:right w:val="none" w:sz="0" w:space="0" w:color="auto"/>
      </w:divBdr>
    </w:div>
    <w:div w:id="2044405899">
      <w:bodyDiv w:val="1"/>
      <w:marLeft w:val="0"/>
      <w:marRight w:val="0"/>
      <w:marTop w:val="0"/>
      <w:marBottom w:val="0"/>
      <w:divBdr>
        <w:top w:val="none" w:sz="0" w:space="0" w:color="auto"/>
        <w:left w:val="none" w:sz="0" w:space="0" w:color="auto"/>
        <w:bottom w:val="none" w:sz="0" w:space="0" w:color="auto"/>
        <w:right w:val="none" w:sz="0" w:space="0" w:color="auto"/>
      </w:divBdr>
      <w:divsChild>
        <w:div w:id="914365131">
          <w:marLeft w:val="0"/>
          <w:marRight w:val="0"/>
          <w:marTop w:val="0"/>
          <w:marBottom w:val="0"/>
          <w:divBdr>
            <w:top w:val="none" w:sz="0" w:space="0" w:color="auto"/>
            <w:left w:val="none" w:sz="0" w:space="0" w:color="auto"/>
            <w:bottom w:val="none" w:sz="0" w:space="0" w:color="auto"/>
            <w:right w:val="none" w:sz="0" w:space="0" w:color="auto"/>
          </w:divBdr>
        </w:div>
        <w:div w:id="1863057465">
          <w:marLeft w:val="0"/>
          <w:marRight w:val="0"/>
          <w:marTop w:val="0"/>
          <w:marBottom w:val="0"/>
          <w:divBdr>
            <w:top w:val="none" w:sz="0" w:space="0" w:color="auto"/>
            <w:left w:val="none" w:sz="0" w:space="0" w:color="auto"/>
            <w:bottom w:val="none" w:sz="0" w:space="0" w:color="auto"/>
            <w:right w:val="none" w:sz="0" w:space="0" w:color="auto"/>
          </w:divBdr>
        </w:div>
        <w:div w:id="26178695">
          <w:marLeft w:val="0"/>
          <w:marRight w:val="0"/>
          <w:marTop w:val="0"/>
          <w:marBottom w:val="0"/>
          <w:divBdr>
            <w:top w:val="none" w:sz="0" w:space="0" w:color="auto"/>
            <w:left w:val="none" w:sz="0" w:space="0" w:color="auto"/>
            <w:bottom w:val="none" w:sz="0" w:space="0" w:color="auto"/>
            <w:right w:val="none" w:sz="0" w:space="0" w:color="auto"/>
          </w:divBdr>
        </w:div>
        <w:div w:id="388579757">
          <w:marLeft w:val="0"/>
          <w:marRight w:val="0"/>
          <w:marTop w:val="0"/>
          <w:marBottom w:val="0"/>
          <w:divBdr>
            <w:top w:val="none" w:sz="0" w:space="0" w:color="auto"/>
            <w:left w:val="none" w:sz="0" w:space="0" w:color="auto"/>
            <w:bottom w:val="none" w:sz="0" w:space="0" w:color="auto"/>
            <w:right w:val="none" w:sz="0" w:space="0" w:color="auto"/>
          </w:divBdr>
        </w:div>
        <w:div w:id="616061430">
          <w:marLeft w:val="0"/>
          <w:marRight w:val="0"/>
          <w:marTop w:val="0"/>
          <w:marBottom w:val="0"/>
          <w:divBdr>
            <w:top w:val="none" w:sz="0" w:space="0" w:color="auto"/>
            <w:left w:val="none" w:sz="0" w:space="0" w:color="auto"/>
            <w:bottom w:val="none" w:sz="0" w:space="0" w:color="auto"/>
            <w:right w:val="none" w:sz="0" w:space="0" w:color="auto"/>
          </w:divBdr>
        </w:div>
        <w:div w:id="1170679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0.xml"/><Relationship Id="rId21" Type="http://schemas.openxmlformats.org/officeDocument/2006/relationships/chart" Target="charts/chart5.xm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chart" Target="charts/chart18.xml"/><Relationship Id="rId68" Type="http://schemas.openxmlformats.org/officeDocument/2006/relationships/chart" Target="charts/chart23.xml"/><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image" Target="media/image13.png"/><Relationship Id="rId11" Type="http://schemas.openxmlformats.org/officeDocument/2006/relationships/image" Target="media/image5.emf"/><Relationship Id="rId24" Type="http://schemas.openxmlformats.org/officeDocument/2006/relationships/chart" Target="charts/chart8.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chart" Target="charts/chart21.xm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chart" Target="charts/chart16.xml"/><Relationship Id="rId19" Type="http://schemas.openxmlformats.org/officeDocument/2006/relationships/chart" Target="charts/chart3.xml"/><Relationship Id="rId14" Type="http://schemas.openxmlformats.org/officeDocument/2006/relationships/image" Target="media/image8.emf"/><Relationship Id="rId22" Type="http://schemas.openxmlformats.org/officeDocument/2006/relationships/chart" Target="charts/chart6.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chart" Target="charts/chart12.xml"/><Relationship Id="rId56" Type="http://schemas.openxmlformats.org/officeDocument/2006/relationships/chart" Target="charts/chart15.xml"/><Relationship Id="rId64" Type="http://schemas.openxmlformats.org/officeDocument/2006/relationships/chart" Target="charts/chart19.xml"/><Relationship Id="rId69" Type="http://schemas.openxmlformats.org/officeDocument/2006/relationships/chart" Target="charts/chart24.xml"/><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chart" Target="charts/chart27.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chart" Target="charts/chart11.xml"/><Relationship Id="rId59" Type="http://schemas.openxmlformats.org/officeDocument/2006/relationships/image" Target="media/image38.png"/><Relationship Id="rId67" Type="http://schemas.openxmlformats.org/officeDocument/2006/relationships/chart" Target="charts/chart22.xml"/><Relationship Id="rId20" Type="http://schemas.openxmlformats.org/officeDocument/2006/relationships/chart" Target="charts/chart4.xml"/><Relationship Id="rId41" Type="http://schemas.openxmlformats.org/officeDocument/2006/relationships/image" Target="media/image25.png"/><Relationship Id="rId54" Type="http://schemas.openxmlformats.org/officeDocument/2006/relationships/image" Target="media/image34.png"/><Relationship Id="rId62" Type="http://schemas.openxmlformats.org/officeDocument/2006/relationships/chart" Target="charts/chart17.xml"/><Relationship Id="rId70" Type="http://schemas.openxmlformats.org/officeDocument/2006/relationships/chart" Target="charts/chart2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chart" Target="charts/chart7.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chart" Target="charts/chart14.xml"/><Relationship Id="rId60" Type="http://schemas.openxmlformats.org/officeDocument/2006/relationships/image" Target="media/image39.png"/><Relationship Id="rId65" Type="http://schemas.openxmlformats.org/officeDocument/2006/relationships/chart" Target="charts/chart20.xml"/><Relationship Id="rId73" Type="http://schemas.openxmlformats.org/officeDocument/2006/relationships/chart" Target="charts/chart28.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chart" Target="charts/chart2.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chart" Target="charts/chart13.xml"/><Relationship Id="rId55" Type="http://schemas.openxmlformats.org/officeDocument/2006/relationships/image" Target="media/image35.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chart" Target="charts/chart26.xml"/></Relationships>
</file>

<file path=word/charts/_rels/chart1.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oleObject" Target="file:///D:\BDS%20DOCS\Year%201\Internship\Financial%20Data%20and%20Graphs\.xlsx%20files\Payment%20Systems%20Data%20+%20Graphs.xlsx" TargetMode="External"/></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oleObject" Target="file:///D:\BDS%20DOCS\Year%201\Internship\Financial%20Data%20and%20Graphs\.xlsx%20files\Payment%20Systems%20Data%20+%20Graphs.xlsx" TargetMode="Externa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oleObject" Target="file:///D:\BDS%20DOCS\Year%201\Internship\Financial%20Data%20and%20Graphs\.xlsx%20files\Payment%20Systems%20Data%20+%20Graphs.xlsx" TargetMode="External"/></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D:\BDS%20DOCS\Year%201\Internship\Financial%20Data%20and%20Graphs\.xlsx%20files\Payment%20Systems%20Data%20+%20Graphs.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oleObject" Target="file:///D:\BDS%20DOCS\Year%201\Internship\Financial%20Data%20and%20Graphs\.xlsx%20files\Payment%20Systems%20Data%20+%20Graphs.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BDS%20DOCS\Year%201\Internship\Financial%20Data%20and%20Graphs\.xlsx%20files\Payment%20Systems%20Data%20+%20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UPI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graphs'!$A$222:$A$237</c:f>
              <c:strCache>
                <c:ptCount val="16"/>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pt idx="15">
                  <c:v>Apr-2020</c:v>
                </c:pt>
              </c:strCache>
            </c:strRef>
          </c:cat>
          <c:val>
            <c:numRef>
              <c:f>'Trend graphs'!$B$222:$B$237</c:f>
              <c:numCache>
                <c:formatCode>General</c:formatCode>
                <c:ptCount val="16"/>
                <c:pt idx="0">
                  <c:v>6727.5</c:v>
                </c:pt>
                <c:pt idx="1">
                  <c:v>6741.9000000000005</c:v>
                </c:pt>
                <c:pt idx="2">
                  <c:v>7995.4</c:v>
                </c:pt>
                <c:pt idx="3" formatCode="0.00">
                  <c:v>7817.9</c:v>
                </c:pt>
                <c:pt idx="4" formatCode="0.00">
                  <c:v>7335.4</c:v>
                </c:pt>
                <c:pt idx="5" formatCode="0.00">
                  <c:v>7545.4</c:v>
                </c:pt>
                <c:pt idx="6" formatCode="0.00">
                  <c:v>8222.9</c:v>
                </c:pt>
                <c:pt idx="7" formatCode="0.00">
                  <c:v>9183.5</c:v>
                </c:pt>
                <c:pt idx="8" formatCode="0.00">
                  <c:v>9550.2000000000007</c:v>
                </c:pt>
                <c:pt idx="9" formatCode="0.00">
                  <c:v>11483.599999999999</c:v>
                </c:pt>
                <c:pt idx="10" formatCode="0.00">
                  <c:v>12187.707420000001</c:v>
                </c:pt>
                <c:pt idx="11" formatCode="0.00">
                  <c:v>13084.01713</c:v>
                </c:pt>
                <c:pt idx="12" formatCode="0.00">
                  <c:v>13050.19</c:v>
                </c:pt>
                <c:pt idx="13" formatCode="0.00">
                  <c:v>13256.93237</c:v>
                </c:pt>
                <c:pt idx="14" formatCode="0.00">
                  <c:v>12468.4455</c:v>
                </c:pt>
                <c:pt idx="15">
                  <c:v>9995.7000000000007</c:v>
                </c:pt>
              </c:numCache>
            </c:numRef>
          </c:val>
          <c:smooth val="0"/>
          <c:extLst>
            <c:ext xmlns:c16="http://schemas.microsoft.com/office/drawing/2014/chart" uri="{C3380CC4-5D6E-409C-BE32-E72D297353CC}">
              <c16:uniqueId val="{00000000-2BDF-4399-9BC1-6C3ACE0AB563}"/>
            </c:ext>
          </c:extLst>
        </c:ser>
        <c:dLbls>
          <c:showLegendKey val="0"/>
          <c:showVal val="0"/>
          <c:showCatName val="0"/>
          <c:showSerName val="0"/>
          <c:showPercent val="0"/>
          <c:showBubbleSize val="0"/>
        </c:dLbls>
        <c:smooth val="0"/>
        <c:axId val="1388854032"/>
        <c:axId val="1388868176"/>
      </c:lineChart>
      <c:catAx>
        <c:axId val="1388854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8176"/>
        <c:crosses val="autoZero"/>
        <c:auto val="1"/>
        <c:lblAlgn val="ctr"/>
        <c:lblOffset val="100"/>
        <c:noMultiLvlLbl val="0"/>
      </c:catAx>
      <c:valAx>
        <c:axId val="1388868176"/>
        <c:scaling>
          <c:orientation val="minMax"/>
          <c:min val="6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4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PPI Wallets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graphs'!$A$170:$A$184</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graphs'!$C$170:$C$184</c:f>
              <c:numCache>
                <c:formatCode>0</c:formatCode>
                <c:ptCount val="15"/>
                <c:pt idx="0">
                  <c:v>15900.456200000001</c:v>
                </c:pt>
                <c:pt idx="1">
                  <c:v>14081.687400000001</c:v>
                </c:pt>
                <c:pt idx="2">
                  <c:v>15785.8639</c:v>
                </c:pt>
                <c:pt idx="3">
                  <c:v>15975.170700000001</c:v>
                </c:pt>
                <c:pt idx="4">
                  <c:v>15727.0843</c:v>
                </c:pt>
                <c:pt idx="5">
                  <c:v>15254.2606</c:v>
                </c:pt>
                <c:pt idx="6">
                  <c:v>15732.954</c:v>
                </c:pt>
                <c:pt idx="7">
                  <c:v>15462.269700000001</c:v>
                </c:pt>
                <c:pt idx="8">
                  <c:v>14674.5249</c:v>
                </c:pt>
                <c:pt idx="9">
                  <c:v>15109.243200000001</c:v>
                </c:pt>
                <c:pt idx="10">
                  <c:v>14652.42508352</c:v>
                </c:pt>
                <c:pt idx="11">
                  <c:v>15834.653405900001</c:v>
                </c:pt>
                <c:pt idx="12">
                  <c:v>15408.20566727</c:v>
                </c:pt>
                <c:pt idx="13">
                  <c:v>14460.610637829999</c:v>
                </c:pt>
                <c:pt idx="14">
                  <c:v>13111.486865979999</c:v>
                </c:pt>
              </c:numCache>
            </c:numRef>
          </c:val>
          <c:smooth val="0"/>
          <c:extLst>
            <c:ext xmlns:c16="http://schemas.microsoft.com/office/drawing/2014/chart" uri="{C3380CC4-5D6E-409C-BE32-E72D297353CC}">
              <c16:uniqueId val="{00000000-1BFE-4570-AF9F-6CF6B5B9A0F4}"/>
            </c:ext>
          </c:extLst>
        </c:ser>
        <c:dLbls>
          <c:showLegendKey val="0"/>
          <c:showVal val="0"/>
          <c:showCatName val="0"/>
          <c:showSerName val="0"/>
          <c:showPercent val="0"/>
          <c:showBubbleSize val="0"/>
        </c:dLbls>
        <c:smooth val="0"/>
        <c:axId val="1388870352"/>
        <c:axId val="1388848048"/>
      </c:lineChart>
      <c:catAx>
        <c:axId val="1388870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8048"/>
        <c:crosses val="autoZero"/>
        <c:auto val="1"/>
        <c:lblAlgn val="ctr"/>
        <c:lblOffset val="100"/>
        <c:noMultiLvlLbl val="0"/>
      </c:catAx>
      <c:valAx>
        <c:axId val="1388848048"/>
        <c:scaling>
          <c:orientation val="minMax"/>
          <c:min val="12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0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'Bar chart data'!$G$93:$G$94</c:f>
              <c:strCache>
                <c:ptCount val="1"/>
                <c:pt idx="0">
                  <c:v>2019</c:v>
                </c:pt>
              </c:strCache>
            </c:strRef>
          </c:tx>
          <c:spPr>
            <a:solidFill>
              <a:schemeClr val="accent1"/>
            </a:solidFill>
            <a:ln>
              <a:noFill/>
            </a:ln>
            <a:effectLst/>
          </c:spPr>
          <c:invertIfNegative val="0"/>
          <c:cat>
            <c:strRef>
              <c:f>'Bar chart data'!$F$95:$F$107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data'!$G$95:$G$107</c:f>
              <c:numCache>
                <c:formatCode>General</c:formatCode>
                <c:ptCount val="12"/>
                <c:pt idx="0">
                  <c:v>1595.6539700000001</c:v>
                </c:pt>
                <c:pt idx="1">
                  <c:v>1413.3617899999999</c:v>
                </c:pt>
                <c:pt idx="2">
                  <c:v>1624.11418</c:v>
                </c:pt>
                <c:pt idx="3">
                  <c:v>1669.20586</c:v>
                </c:pt>
                <c:pt idx="4">
                  <c:v>1731.5309</c:v>
                </c:pt>
                <c:pt idx="5">
                  <c:v>1632.3348900000001</c:v>
                </c:pt>
                <c:pt idx="6">
                  <c:v>1784.15705</c:v>
                </c:pt>
                <c:pt idx="7">
                  <c:v>1795.7322899999999</c:v>
                </c:pt>
                <c:pt idx="8">
                  <c:v>1794.7052200000001</c:v>
                </c:pt>
                <c:pt idx="9">
                  <c:v>2027.6266499999999</c:v>
                </c:pt>
                <c:pt idx="10">
                  <c:v>1824.94</c:v>
                </c:pt>
                <c:pt idx="11">
                  <c:v>2049.6802699999998</c:v>
                </c:pt>
              </c:numCache>
            </c:numRef>
          </c:val>
          <c:extLst>
            <c:ext xmlns:c16="http://schemas.microsoft.com/office/drawing/2014/chart" uri="{C3380CC4-5D6E-409C-BE32-E72D297353CC}">
              <c16:uniqueId val="{00000000-F28E-4E55-A242-0E992DDFDBDC}"/>
            </c:ext>
          </c:extLst>
        </c:ser>
        <c:ser>
          <c:idx val="1"/>
          <c:order val="1"/>
          <c:tx>
            <c:strRef>
              <c:f>'Bar chart data'!$H$93:$H$94</c:f>
              <c:strCache>
                <c:ptCount val="1"/>
                <c:pt idx="0">
                  <c:v>2020</c:v>
                </c:pt>
              </c:strCache>
            </c:strRef>
          </c:tx>
          <c:spPr>
            <a:solidFill>
              <a:schemeClr val="accent2"/>
            </a:solidFill>
            <a:ln>
              <a:noFill/>
            </a:ln>
            <a:effectLst/>
          </c:spPr>
          <c:invertIfNegative val="0"/>
          <c:cat>
            <c:strRef>
              <c:f>'Bar chart data'!$F$95:$F$107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data'!$H$95:$H$107</c:f>
              <c:numCache>
                <c:formatCode>General</c:formatCode>
                <c:ptCount val="12"/>
                <c:pt idx="0">
                  <c:v>2029.2882500000001</c:v>
                </c:pt>
                <c:pt idx="1">
                  <c:v>1895.0095799999999</c:v>
                </c:pt>
                <c:pt idx="2">
                  <c:v>1646.7</c:v>
                </c:pt>
              </c:numCache>
            </c:numRef>
          </c:val>
          <c:extLst>
            <c:ext xmlns:c16="http://schemas.microsoft.com/office/drawing/2014/chart" uri="{C3380CC4-5D6E-409C-BE32-E72D297353CC}">
              <c16:uniqueId val="{00000001-F28E-4E55-A242-0E992DDFDBDC}"/>
            </c:ext>
          </c:extLst>
        </c:ser>
        <c:dLbls>
          <c:showLegendKey val="0"/>
          <c:showVal val="0"/>
          <c:showCatName val="0"/>
          <c:showSerName val="0"/>
          <c:showPercent val="0"/>
          <c:showBubbleSize val="0"/>
        </c:dLbls>
        <c:gapWidth val="219"/>
        <c:overlap val="-27"/>
        <c:axId val="1388860016"/>
        <c:axId val="1388867088"/>
      </c:barChart>
      <c:catAx>
        <c:axId val="138886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7088"/>
        <c:crosses val="autoZero"/>
        <c:auto val="1"/>
        <c:lblAlgn val="ctr"/>
        <c:lblOffset val="100"/>
        <c:noMultiLvlLbl val="0"/>
      </c:catAx>
      <c:valAx>
        <c:axId val="1388867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00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'Bar chart data'!$L$93:$L$94</c:f>
              <c:strCache>
                <c:ptCount val="1"/>
                <c:pt idx="0">
                  <c:v>2019</c:v>
                </c:pt>
              </c:strCache>
            </c:strRef>
          </c:tx>
          <c:spPr>
            <a:solidFill>
              <a:schemeClr val="accent1"/>
            </a:solidFill>
            <a:ln>
              <a:noFill/>
            </a:ln>
            <a:effectLst/>
          </c:spPr>
          <c:invertIfNegative val="0"/>
          <c:cat>
            <c:strRef>
              <c:f>'Bar chart data'!$K$95:$K$107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data'!$L$95:$L$107</c:f>
              <c:numCache>
                <c:formatCode>General</c:formatCode>
                <c:ptCount val="12"/>
                <c:pt idx="0">
                  <c:v>54951.735200000003</c:v>
                </c:pt>
                <c:pt idx="1">
                  <c:v>48496.157500000001</c:v>
                </c:pt>
                <c:pt idx="2">
                  <c:v>57663.813099999999</c:v>
                </c:pt>
                <c:pt idx="3">
                  <c:v>57714.034899999999</c:v>
                </c:pt>
                <c:pt idx="4">
                  <c:v>61282.464599999999</c:v>
                </c:pt>
                <c:pt idx="5">
                  <c:v>56928.4156</c:v>
                </c:pt>
                <c:pt idx="6">
                  <c:v>59616.386200000001</c:v>
                </c:pt>
                <c:pt idx="7">
                  <c:v>59600.589500000002</c:v>
                </c:pt>
                <c:pt idx="8">
                  <c:v>59453.132599999997</c:v>
                </c:pt>
                <c:pt idx="9">
                  <c:v>71138.7255</c:v>
                </c:pt>
                <c:pt idx="10">
                  <c:v>60130</c:v>
                </c:pt>
                <c:pt idx="11">
                  <c:v>66186.399999999994</c:v>
                </c:pt>
              </c:numCache>
            </c:numRef>
          </c:val>
          <c:extLst>
            <c:ext xmlns:c16="http://schemas.microsoft.com/office/drawing/2014/chart" uri="{C3380CC4-5D6E-409C-BE32-E72D297353CC}">
              <c16:uniqueId val="{00000000-AAA8-43D7-8AE1-B4C77FBAA39E}"/>
            </c:ext>
          </c:extLst>
        </c:ser>
        <c:ser>
          <c:idx val="1"/>
          <c:order val="1"/>
          <c:tx>
            <c:strRef>
              <c:f>'Bar chart data'!$M$93:$M$94</c:f>
              <c:strCache>
                <c:ptCount val="1"/>
                <c:pt idx="0">
                  <c:v>2020</c:v>
                </c:pt>
              </c:strCache>
            </c:strRef>
          </c:tx>
          <c:spPr>
            <a:solidFill>
              <a:schemeClr val="accent2"/>
            </a:solidFill>
            <a:ln>
              <a:noFill/>
            </a:ln>
            <a:effectLst/>
          </c:spPr>
          <c:invertIfNegative val="0"/>
          <c:cat>
            <c:strRef>
              <c:f>'Bar chart data'!$K$95:$K$107</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data'!$M$95:$M$107</c:f>
              <c:numCache>
                <c:formatCode>General</c:formatCode>
                <c:ptCount val="12"/>
                <c:pt idx="0">
                  <c:v>67002.25</c:v>
                </c:pt>
                <c:pt idx="1">
                  <c:v>62523.09</c:v>
                </c:pt>
                <c:pt idx="2">
                  <c:v>50696</c:v>
                </c:pt>
              </c:numCache>
            </c:numRef>
          </c:val>
          <c:extLst>
            <c:ext xmlns:c16="http://schemas.microsoft.com/office/drawing/2014/chart" uri="{C3380CC4-5D6E-409C-BE32-E72D297353CC}">
              <c16:uniqueId val="{00000001-AAA8-43D7-8AE1-B4C77FBAA39E}"/>
            </c:ext>
          </c:extLst>
        </c:ser>
        <c:dLbls>
          <c:showLegendKey val="0"/>
          <c:showVal val="0"/>
          <c:showCatName val="0"/>
          <c:showSerName val="0"/>
          <c:showPercent val="0"/>
          <c:showBubbleSize val="0"/>
        </c:dLbls>
        <c:gapWidth val="219"/>
        <c:overlap val="-27"/>
        <c:axId val="1388853488"/>
        <c:axId val="1388854576"/>
      </c:barChart>
      <c:catAx>
        <c:axId val="1388853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4576"/>
        <c:crosses val="autoZero"/>
        <c:auto val="1"/>
        <c:lblAlgn val="ctr"/>
        <c:lblOffset val="100"/>
        <c:noMultiLvlLbl val="0"/>
      </c:catAx>
      <c:valAx>
        <c:axId val="1388854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34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 Usage at ATMs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'Bar chart data'!$G$111:$G$112</c:f>
              <c:strCache>
                <c:ptCount val="1"/>
                <c:pt idx="0">
                  <c:v>2019</c:v>
                </c:pt>
              </c:strCache>
            </c:strRef>
          </c:tx>
          <c:spPr>
            <a:solidFill>
              <a:schemeClr val="accent1"/>
            </a:solidFill>
            <a:ln>
              <a:noFill/>
            </a:ln>
            <a:effectLst/>
          </c:spPr>
          <c:invertIfNegative val="0"/>
          <c:cat>
            <c:strRef>
              <c:f>'Bar chart data'!$F$113:$F$125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data'!$G$113:$G$125</c:f>
              <c:numCache>
                <c:formatCode>General</c:formatCode>
                <c:ptCount val="12"/>
                <c:pt idx="0">
                  <c:v>8804.8164799999995</c:v>
                </c:pt>
                <c:pt idx="1">
                  <c:v>8179.1522199999999</c:v>
                </c:pt>
                <c:pt idx="2">
                  <c:v>8914.2373900000002</c:v>
                </c:pt>
                <c:pt idx="3">
                  <c:v>8089.0904899999996</c:v>
                </c:pt>
                <c:pt idx="4">
                  <c:v>8157.1020399999998</c:v>
                </c:pt>
                <c:pt idx="5">
                  <c:v>8004.8406299999997</c:v>
                </c:pt>
                <c:pt idx="6">
                  <c:v>8160.1477000000004</c:v>
                </c:pt>
                <c:pt idx="7">
                  <c:v>8143.0830900000001</c:v>
                </c:pt>
                <c:pt idx="8">
                  <c:v>7940.2151599999997</c:v>
                </c:pt>
                <c:pt idx="9">
                  <c:v>8590.4273200000007</c:v>
                </c:pt>
                <c:pt idx="10">
                  <c:v>6396.61</c:v>
                </c:pt>
                <c:pt idx="11">
                  <c:v>6620.57</c:v>
                </c:pt>
              </c:numCache>
            </c:numRef>
          </c:val>
          <c:extLst>
            <c:ext xmlns:c16="http://schemas.microsoft.com/office/drawing/2014/chart" uri="{C3380CC4-5D6E-409C-BE32-E72D297353CC}">
              <c16:uniqueId val="{00000000-BC6E-4626-B3D8-5B59BE2126C0}"/>
            </c:ext>
          </c:extLst>
        </c:ser>
        <c:ser>
          <c:idx val="1"/>
          <c:order val="1"/>
          <c:tx>
            <c:strRef>
              <c:f>'Bar chart data'!$H$111:$H$112</c:f>
              <c:strCache>
                <c:ptCount val="1"/>
                <c:pt idx="0">
                  <c:v>2020</c:v>
                </c:pt>
              </c:strCache>
            </c:strRef>
          </c:tx>
          <c:spPr>
            <a:solidFill>
              <a:schemeClr val="accent2"/>
            </a:solidFill>
            <a:ln>
              <a:noFill/>
            </a:ln>
            <a:effectLst/>
          </c:spPr>
          <c:invertIfNegative val="0"/>
          <c:cat>
            <c:strRef>
              <c:f>'Bar chart data'!$F$113:$F$125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data'!$H$113:$H$125</c:f>
              <c:numCache>
                <c:formatCode>General</c:formatCode>
                <c:ptCount val="12"/>
                <c:pt idx="0">
                  <c:v>6677.11</c:v>
                </c:pt>
                <c:pt idx="1">
                  <c:v>6330.42</c:v>
                </c:pt>
                <c:pt idx="2">
                  <c:v>5556.01</c:v>
                </c:pt>
              </c:numCache>
            </c:numRef>
          </c:val>
          <c:extLst>
            <c:ext xmlns:c16="http://schemas.microsoft.com/office/drawing/2014/chart" uri="{C3380CC4-5D6E-409C-BE32-E72D297353CC}">
              <c16:uniqueId val="{00000001-BC6E-4626-B3D8-5B59BE2126C0}"/>
            </c:ext>
          </c:extLst>
        </c:ser>
        <c:dLbls>
          <c:showLegendKey val="0"/>
          <c:showVal val="0"/>
          <c:showCatName val="0"/>
          <c:showSerName val="0"/>
          <c:showPercent val="0"/>
          <c:showBubbleSize val="0"/>
        </c:dLbls>
        <c:gapWidth val="219"/>
        <c:overlap val="-27"/>
        <c:axId val="1388855120"/>
        <c:axId val="1388861104"/>
      </c:barChart>
      <c:catAx>
        <c:axId val="13888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1104"/>
        <c:crosses val="autoZero"/>
        <c:auto val="1"/>
        <c:lblAlgn val="ctr"/>
        <c:lblOffset val="100"/>
        <c:noMultiLvlLbl val="0"/>
      </c:catAx>
      <c:valAx>
        <c:axId val="138886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51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 Usage at ATMs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'Bar chart data'!$L$111:$L$112</c:f>
              <c:strCache>
                <c:ptCount val="1"/>
                <c:pt idx="0">
                  <c:v>2019</c:v>
                </c:pt>
              </c:strCache>
            </c:strRef>
          </c:tx>
          <c:spPr>
            <a:solidFill>
              <a:schemeClr val="accent1"/>
            </a:solidFill>
            <a:ln>
              <a:noFill/>
            </a:ln>
            <a:effectLst/>
          </c:spPr>
          <c:invertIfNegative val="0"/>
          <c:cat>
            <c:strRef>
              <c:f>'Bar chart data'!$K$113:$K$125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data'!$L$113:$L$125</c:f>
              <c:numCache>
                <c:formatCode>General</c:formatCode>
                <c:ptCount val="12"/>
                <c:pt idx="0">
                  <c:v>266124.19699999999</c:v>
                </c:pt>
                <c:pt idx="1">
                  <c:v>259430.73300000001</c:v>
                </c:pt>
                <c:pt idx="2">
                  <c:v>288999.21399999998</c:v>
                </c:pt>
                <c:pt idx="3">
                  <c:v>284396.33299999998</c:v>
                </c:pt>
                <c:pt idx="4">
                  <c:v>294666.75599999999</c:v>
                </c:pt>
                <c:pt idx="5">
                  <c:v>283402.89399999997</c:v>
                </c:pt>
                <c:pt idx="6">
                  <c:v>282132.75099999999</c:v>
                </c:pt>
                <c:pt idx="7">
                  <c:v>287447.52799999999</c:v>
                </c:pt>
                <c:pt idx="8">
                  <c:v>273786.42499999999</c:v>
                </c:pt>
                <c:pt idx="9">
                  <c:v>315632.80800000002</c:v>
                </c:pt>
                <c:pt idx="10">
                  <c:v>304196</c:v>
                </c:pt>
                <c:pt idx="11">
                  <c:v>313510</c:v>
                </c:pt>
              </c:numCache>
            </c:numRef>
          </c:val>
          <c:extLst>
            <c:ext xmlns:c16="http://schemas.microsoft.com/office/drawing/2014/chart" uri="{C3380CC4-5D6E-409C-BE32-E72D297353CC}">
              <c16:uniqueId val="{00000000-B4A6-4808-9CC8-BEE4552ABED6}"/>
            </c:ext>
          </c:extLst>
        </c:ser>
        <c:ser>
          <c:idx val="1"/>
          <c:order val="1"/>
          <c:tx>
            <c:strRef>
              <c:f>'Bar chart data'!$M$111:$M$112</c:f>
              <c:strCache>
                <c:ptCount val="1"/>
                <c:pt idx="0">
                  <c:v>2020</c:v>
                </c:pt>
              </c:strCache>
            </c:strRef>
          </c:tx>
          <c:spPr>
            <a:solidFill>
              <a:schemeClr val="accent2"/>
            </a:solidFill>
            <a:ln>
              <a:noFill/>
            </a:ln>
            <a:effectLst/>
          </c:spPr>
          <c:invertIfNegative val="0"/>
          <c:cat>
            <c:strRef>
              <c:f>'Bar chart data'!$K$113:$K$125</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data'!$M$113:$M$125</c:f>
              <c:numCache>
                <c:formatCode>General</c:formatCode>
                <c:ptCount val="12"/>
                <c:pt idx="0">
                  <c:v>319700</c:v>
                </c:pt>
                <c:pt idx="1">
                  <c:v>307547</c:v>
                </c:pt>
                <c:pt idx="2">
                  <c:v>267692</c:v>
                </c:pt>
              </c:numCache>
            </c:numRef>
          </c:val>
          <c:extLst>
            <c:ext xmlns:c16="http://schemas.microsoft.com/office/drawing/2014/chart" uri="{C3380CC4-5D6E-409C-BE32-E72D297353CC}">
              <c16:uniqueId val="{00000001-B4A6-4808-9CC8-BEE4552ABED6}"/>
            </c:ext>
          </c:extLst>
        </c:ser>
        <c:dLbls>
          <c:showLegendKey val="0"/>
          <c:showVal val="0"/>
          <c:showCatName val="0"/>
          <c:showSerName val="0"/>
          <c:showPercent val="0"/>
          <c:showBubbleSize val="0"/>
        </c:dLbls>
        <c:gapWidth val="219"/>
        <c:overlap val="-27"/>
        <c:axId val="1388868720"/>
        <c:axId val="1388861648"/>
      </c:barChart>
      <c:catAx>
        <c:axId val="138886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1648"/>
        <c:crosses val="autoZero"/>
        <c:auto val="1"/>
        <c:lblAlgn val="ctr"/>
        <c:lblOffset val="100"/>
        <c:noMultiLvlLbl val="0"/>
      </c:catAx>
      <c:valAx>
        <c:axId val="1388861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8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[Payment Systems Data + Graphs.xlsx]Bar chart data!PivotTable16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'Bar chart data'!$L$129:$L$130</c:f>
              <c:strCache>
                <c:ptCount val="1"/>
                <c:pt idx="0">
                  <c:v>2019</c:v>
                </c:pt>
              </c:strCache>
            </c:strRef>
          </c:tx>
          <c:spPr>
            <a:solidFill>
              <a:schemeClr val="accent1"/>
            </a:solidFill>
            <a:ln>
              <a:noFill/>
            </a:ln>
            <a:effectLst/>
          </c:spPr>
          <c:invertIfNegative val="0"/>
          <c:cat>
            <c:strRef>
              <c:f>'Bar chart data'!$K$131:$K$143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data'!$L$131:$L$143</c:f>
              <c:numCache>
                <c:formatCode>General</c:formatCode>
                <c:ptCount val="12"/>
                <c:pt idx="0">
                  <c:v>50568.2304</c:v>
                </c:pt>
                <c:pt idx="1">
                  <c:v>45508.902000000002</c:v>
                </c:pt>
                <c:pt idx="2">
                  <c:v>53011.148999999998</c:v>
                </c:pt>
                <c:pt idx="3">
                  <c:v>55350.873</c:v>
                </c:pt>
                <c:pt idx="4">
                  <c:v>58046.8033</c:v>
                </c:pt>
                <c:pt idx="5">
                  <c:v>57453.287700000001</c:v>
                </c:pt>
                <c:pt idx="6">
                  <c:v>58545.070200000002</c:v>
                </c:pt>
                <c:pt idx="7">
                  <c:v>58077.576099999998</c:v>
                </c:pt>
                <c:pt idx="8">
                  <c:v>55718.286500000002</c:v>
                </c:pt>
                <c:pt idx="9">
                  <c:v>70125.598499999993</c:v>
                </c:pt>
                <c:pt idx="10">
                  <c:v>57590</c:v>
                </c:pt>
                <c:pt idx="11">
                  <c:v>61997.81</c:v>
                </c:pt>
              </c:numCache>
            </c:numRef>
          </c:val>
          <c:extLst>
            <c:ext xmlns:c16="http://schemas.microsoft.com/office/drawing/2014/chart" uri="{C3380CC4-5D6E-409C-BE32-E72D297353CC}">
              <c16:uniqueId val="{00000000-1E54-4727-B43E-E53ED626B1C6}"/>
            </c:ext>
          </c:extLst>
        </c:ser>
        <c:ser>
          <c:idx val="1"/>
          <c:order val="1"/>
          <c:tx>
            <c:strRef>
              <c:f>'Bar chart data'!$M$129:$M$130</c:f>
              <c:strCache>
                <c:ptCount val="1"/>
                <c:pt idx="0">
                  <c:v>2020</c:v>
                </c:pt>
              </c:strCache>
            </c:strRef>
          </c:tx>
          <c:spPr>
            <a:solidFill>
              <a:schemeClr val="accent2"/>
            </a:solidFill>
            <a:ln>
              <a:noFill/>
            </a:ln>
            <a:effectLst/>
          </c:spPr>
          <c:invertIfNegative val="0"/>
          <c:cat>
            <c:strRef>
              <c:f>'Bar chart data'!$K$131:$K$143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'Bar chart data'!$M$131:$M$143</c:f>
              <c:numCache>
                <c:formatCode>General</c:formatCode>
                <c:ptCount val="12"/>
                <c:pt idx="0">
                  <c:v>62153.53</c:v>
                </c:pt>
                <c:pt idx="1">
                  <c:v>57840.51</c:v>
                </c:pt>
                <c:pt idx="2">
                  <c:v>47646</c:v>
                </c:pt>
              </c:numCache>
            </c:numRef>
          </c:val>
          <c:extLst>
            <c:ext xmlns:c16="http://schemas.microsoft.com/office/drawing/2014/chart" uri="{C3380CC4-5D6E-409C-BE32-E72D297353CC}">
              <c16:uniqueId val="{00000001-1E54-4727-B43E-E53ED626B1C6}"/>
            </c:ext>
          </c:extLst>
        </c:ser>
        <c:dLbls>
          <c:showLegendKey val="0"/>
          <c:showVal val="0"/>
          <c:showCatName val="0"/>
          <c:showSerName val="0"/>
          <c:showPercent val="0"/>
          <c:showBubbleSize val="0"/>
        </c:dLbls>
        <c:gapWidth val="219"/>
        <c:overlap val="-27"/>
        <c:axId val="1388862192"/>
        <c:axId val="1388865456"/>
      </c:barChart>
      <c:catAx>
        <c:axId val="1388862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5456"/>
        <c:crosses val="autoZero"/>
        <c:auto val="1"/>
        <c:lblAlgn val="ctr"/>
        <c:lblOffset val="100"/>
        <c:noMultiLvlLbl val="0"/>
      </c:catAx>
      <c:valAx>
        <c:axId val="1388865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21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pivotOptions>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Maharashtra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2CC5-486D-AC1B-683BDEB3EB9F}"/>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2CC5-486D-AC1B-683BDEB3EB9F}"/>
              </c:ext>
            </c:extLst>
          </c:dPt>
          <c:cat>
            <c:strRef>
              <c:f>'bank credit trend graph data'!$D$45:$D$57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data'!$E$45:$E$57</c:f>
              <c:numCache>
                <c:formatCode>0</c:formatCode>
                <c:ptCount val="13"/>
                <c:pt idx="0">
                  <c:v>2250943.7948500002</c:v>
                </c:pt>
                <c:pt idx="1">
                  <c:v>2305295.8955700002</c:v>
                </c:pt>
                <c:pt idx="2">
                  <c:v>2316438.4854700002</c:v>
                </c:pt>
                <c:pt idx="3">
                  <c:v>2404766.2034999998</c:v>
                </c:pt>
                <c:pt idx="4">
                  <c:v>2408224.1230500001</c:v>
                </c:pt>
                <c:pt idx="5">
                  <c:v>2507600.9253600002</c:v>
                </c:pt>
                <c:pt idx="6">
                  <c:v>2583258.4237600002</c:v>
                </c:pt>
                <c:pt idx="7">
                  <c:v>2714809.4341799999</c:v>
                </c:pt>
                <c:pt idx="8">
                  <c:v>2656559.3062785198</c:v>
                </c:pt>
                <c:pt idx="9">
                  <c:v>2695456.1774021299</c:v>
                </c:pt>
                <c:pt idx="10">
                  <c:v>2718451.9972912902</c:v>
                </c:pt>
                <c:pt idx="11">
                  <c:v>2871974.9543219856</c:v>
                </c:pt>
                <c:pt idx="12">
                  <c:v>2854825.2553688213</c:v>
                </c:pt>
              </c:numCache>
            </c:numRef>
          </c:val>
          <c:smooth val="0"/>
          <c:extLst>
            <c:ext xmlns:c16="http://schemas.microsoft.com/office/drawing/2014/chart" uri="{C3380CC4-5D6E-409C-BE32-E72D297353CC}">
              <c16:uniqueId val="{00000004-2CC5-486D-AC1B-683BDEB3EB9F}"/>
            </c:ext>
          </c:extLst>
        </c:ser>
        <c:dLbls>
          <c:showLegendKey val="0"/>
          <c:showVal val="0"/>
          <c:showCatName val="0"/>
          <c:showSerName val="0"/>
          <c:showPercent val="0"/>
          <c:showBubbleSize val="0"/>
        </c:dLbls>
        <c:smooth val="0"/>
        <c:axId val="1388866000"/>
        <c:axId val="1388870896"/>
      </c:lineChart>
      <c:catAx>
        <c:axId val="1388866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0896"/>
        <c:crosses val="autoZero"/>
        <c:auto val="1"/>
        <c:lblAlgn val="ctr"/>
        <c:lblOffset val="100"/>
        <c:noMultiLvlLbl val="0"/>
      </c:catAx>
      <c:valAx>
        <c:axId val="1388870896"/>
        <c:scaling>
          <c:orientation val="minMax"/>
          <c:min val="2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6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b="1"/>
              <a:t>Tamil Nadu </a:t>
            </a:r>
            <a:r>
              <a:rPr lang="en-IN"/>
              <a:t>Bank Credit (Rupees Crore)</a:t>
            </a:r>
          </a:p>
        </c:rich>
      </c:tx>
      <c:layout>
        <c:manualLayout>
          <c:xMode val="edge"/>
          <c:yMode val="edge"/>
          <c:x val="0.16745959751025763"/>
          <c:y val="2.848804281452757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05AC-43A3-9313-AFA8E8AB33C2}"/>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05AC-43A3-9313-AFA8E8AB33C2}"/>
              </c:ext>
            </c:extLst>
          </c:dPt>
          <c:cat>
            <c:strRef>
              <c:f>'bank credit trend graph data'!$D$75:$D$87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data'!$E$75:$E$87</c:f>
              <c:numCache>
                <c:formatCode>0</c:formatCode>
                <c:ptCount val="13"/>
                <c:pt idx="0">
                  <c:v>722895.81305999996</c:v>
                </c:pt>
                <c:pt idx="1">
                  <c:v>740730.18856000004</c:v>
                </c:pt>
                <c:pt idx="2">
                  <c:v>771462.44177000003</c:v>
                </c:pt>
                <c:pt idx="3">
                  <c:v>784172.08334000001</c:v>
                </c:pt>
                <c:pt idx="4">
                  <c:v>785311.88659999997</c:v>
                </c:pt>
                <c:pt idx="5">
                  <c:v>817633.35153999995</c:v>
                </c:pt>
                <c:pt idx="6">
                  <c:v>835950.04221999994</c:v>
                </c:pt>
                <c:pt idx="7">
                  <c:v>876432.95134000003</c:v>
                </c:pt>
                <c:pt idx="8">
                  <c:v>884226.99813667603</c:v>
                </c:pt>
                <c:pt idx="9">
                  <c:v>914610.31154641998</c:v>
                </c:pt>
                <c:pt idx="10">
                  <c:v>929017.95390357997</c:v>
                </c:pt>
                <c:pt idx="11">
                  <c:v>954663.42215461773</c:v>
                </c:pt>
                <c:pt idx="12">
                  <c:v>963292.77235171548</c:v>
                </c:pt>
              </c:numCache>
            </c:numRef>
          </c:val>
          <c:smooth val="0"/>
          <c:extLst>
            <c:ext xmlns:c16="http://schemas.microsoft.com/office/drawing/2014/chart" uri="{C3380CC4-5D6E-409C-BE32-E72D297353CC}">
              <c16:uniqueId val="{00000004-05AC-43A3-9313-AFA8E8AB33C2}"/>
            </c:ext>
          </c:extLst>
        </c:ser>
        <c:dLbls>
          <c:showLegendKey val="0"/>
          <c:showVal val="0"/>
          <c:showCatName val="0"/>
          <c:showSerName val="0"/>
          <c:showPercent val="0"/>
          <c:showBubbleSize val="0"/>
        </c:dLbls>
        <c:smooth val="0"/>
        <c:axId val="1388871440"/>
        <c:axId val="1388840432"/>
      </c:lineChart>
      <c:catAx>
        <c:axId val="1388871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0432"/>
        <c:crosses val="autoZero"/>
        <c:auto val="1"/>
        <c:lblAlgn val="ctr"/>
        <c:lblOffset val="100"/>
        <c:noMultiLvlLbl val="0"/>
      </c:catAx>
      <c:valAx>
        <c:axId val="1388840432"/>
        <c:scaling>
          <c:orientation val="minMax"/>
          <c:min val="7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71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Delhi</a:t>
            </a:r>
            <a:r>
              <a:rPr lang="en-IN"/>
              <a:t> 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2DC8-488F-8350-62E916A9334D}"/>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2DC8-488F-8350-62E916A9334D}"/>
              </c:ext>
            </c:extLst>
          </c:dPt>
          <c:cat>
            <c:strRef>
              <c:f>'bank credit trend graph data'!$A$15:$A$27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data'!$B$15:$B$27</c:f>
              <c:numCache>
                <c:formatCode>0</c:formatCode>
                <c:ptCount val="13"/>
                <c:pt idx="0">
                  <c:v>933238.82926999999</c:v>
                </c:pt>
                <c:pt idx="1">
                  <c:v>939834.21319000004</c:v>
                </c:pt>
                <c:pt idx="2">
                  <c:v>972052.81857</c:v>
                </c:pt>
                <c:pt idx="3">
                  <c:v>1069998.43413</c:v>
                </c:pt>
                <c:pt idx="4">
                  <c:v>1052119.4785199999</c:v>
                </c:pt>
                <c:pt idx="5">
                  <c:v>1131043.0446500001</c:v>
                </c:pt>
                <c:pt idx="6">
                  <c:v>1183746.07</c:v>
                </c:pt>
                <c:pt idx="7">
                  <c:v>1287041.9385500001</c:v>
                </c:pt>
                <c:pt idx="8">
                  <c:v>1218199.8968473901</c:v>
                </c:pt>
                <c:pt idx="9">
                  <c:v>1204536.10771303</c:v>
                </c:pt>
                <c:pt idx="10">
                  <c:v>1227001.5741615</c:v>
                </c:pt>
                <c:pt idx="11">
                  <c:v>1389243.2947789044</c:v>
                </c:pt>
                <c:pt idx="12">
                  <c:v>1348816.879464336</c:v>
                </c:pt>
              </c:numCache>
            </c:numRef>
          </c:val>
          <c:smooth val="0"/>
          <c:extLst>
            <c:ext xmlns:c16="http://schemas.microsoft.com/office/drawing/2014/chart" uri="{C3380CC4-5D6E-409C-BE32-E72D297353CC}">
              <c16:uniqueId val="{00000004-2DC8-488F-8350-62E916A9334D}"/>
            </c:ext>
          </c:extLst>
        </c:ser>
        <c:dLbls>
          <c:showLegendKey val="0"/>
          <c:showVal val="0"/>
          <c:showCatName val="0"/>
          <c:showSerName val="0"/>
          <c:showPercent val="0"/>
          <c:showBubbleSize val="0"/>
        </c:dLbls>
        <c:smooth val="0"/>
        <c:axId val="1388842064"/>
        <c:axId val="1388843152"/>
      </c:lineChart>
      <c:catAx>
        <c:axId val="1388842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3152"/>
        <c:crosses val="autoZero"/>
        <c:auto val="1"/>
        <c:lblAlgn val="ctr"/>
        <c:lblOffset val="100"/>
        <c:noMultiLvlLbl val="0"/>
      </c:catAx>
      <c:valAx>
        <c:axId val="1388843152"/>
        <c:scaling>
          <c:orientation val="minMax"/>
          <c:min val="8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2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Gujarat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45C3-4BA5-AAB8-B898075A483E}"/>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45C3-4BA5-AAB8-B898075A483E}"/>
              </c:ext>
            </c:extLst>
          </c:dPt>
          <c:cat>
            <c:strRef>
              <c:f>'bank credit trend graph data'!$D$30:$D$42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data'!$E$30:$E$42</c:f>
              <c:numCache>
                <c:formatCode>0</c:formatCode>
                <c:ptCount val="13"/>
                <c:pt idx="0">
                  <c:v>420001.5048</c:v>
                </c:pt>
                <c:pt idx="1">
                  <c:v>423774.96925999998</c:v>
                </c:pt>
                <c:pt idx="2">
                  <c:v>450679.52737000003</c:v>
                </c:pt>
                <c:pt idx="3">
                  <c:v>482778.60524</c:v>
                </c:pt>
                <c:pt idx="4">
                  <c:v>484745.72872000001</c:v>
                </c:pt>
                <c:pt idx="5">
                  <c:v>505779.038</c:v>
                </c:pt>
                <c:pt idx="6">
                  <c:v>520939.36343000003</c:v>
                </c:pt>
                <c:pt idx="7">
                  <c:v>531396.06116000004</c:v>
                </c:pt>
                <c:pt idx="8">
                  <c:v>527191.33088013902</c:v>
                </c:pt>
                <c:pt idx="9">
                  <c:v>530740.12570723996</c:v>
                </c:pt>
                <c:pt idx="10">
                  <c:v>542121.67744308</c:v>
                </c:pt>
                <c:pt idx="11">
                  <c:v>583219.45486779814</c:v>
                </c:pt>
                <c:pt idx="12">
                  <c:v>578822.35035711061</c:v>
                </c:pt>
              </c:numCache>
            </c:numRef>
          </c:val>
          <c:smooth val="0"/>
          <c:extLst>
            <c:ext xmlns:c16="http://schemas.microsoft.com/office/drawing/2014/chart" uri="{C3380CC4-5D6E-409C-BE32-E72D297353CC}">
              <c16:uniqueId val="{00000004-45C3-4BA5-AAB8-B898075A483E}"/>
            </c:ext>
          </c:extLst>
        </c:ser>
        <c:dLbls>
          <c:showLegendKey val="0"/>
          <c:showVal val="0"/>
          <c:showCatName val="0"/>
          <c:showSerName val="0"/>
          <c:showPercent val="0"/>
          <c:showBubbleSize val="0"/>
        </c:dLbls>
        <c:smooth val="0"/>
        <c:axId val="1270285008"/>
        <c:axId val="1270275216"/>
      </c:lineChart>
      <c:catAx>
        <c:axId val="1270285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5216"/>
        <c:crosses val="autoZero"/>
        <c:auto val="1"/>
        <c:lblAlgn val="ctr"/>
        <c:lblOffset val="100"/>
        <c:noMultiLvlLbl val="0"/>
      </c:catAx>
      <c:valAx>
        <c:axId val="1270275216"/>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50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UPI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graphs'!$A$222:$A$237</c:f>
              <c:strCache>
                <c:ptCount val="16"/>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pt idx="15">
                  <c:v>Apr-2020</c:v>
                </c:pt>
              </c:strCache>
            </c:strRef>
          </c:cat>
          <c:val>
            <c:numRef>
              <c:f>'Trend graphs'!$C$222:$C$237</c:f>
              <c:numCache>
                <c:formatCode>#,##0.00</c:formatCode>
                <c:ptCount val="16"/>
                <c:pt idx="0">
                  <c:v>109932.43</c:v>
                </c:pt>
                <c:pt idx="1">
                  <c:v>106737.12</c:v>
                </c:pt>
                <c:pt idx="2">
                  <c:v>133460.72</c:v>
                </c:pt>
                <c:pt idx="3" formatCode="0.00">
                  <c:v>142034.39000000001</c:v>
                </c:pt>
                <c:pt idx="4" formatCode="0.00">
                  <c:v>152449.29</c:v>
                </c:pt>
                <c:pt idx="5" formatCode="0.00">
                  <c:v>146566.35</c:v>
                </c:pt>
                <c:pt idx="6" formatCode="0.00">
                  <c:v>146386.64000000001</c:v>
                </c:pt>
                <c:pt idx="7" formatCode="0.00">
                  <c:v>154504.89000000001</c:v>
                </c:pt>
                <c:pt idx="8" formatCode="0.00">
                  <c:v>161456.56</c:v>
                </c:pt>
                <c:pt idx="9" formatCode="0.00">
                  <c:v>191359.94</c:v>
                </c:pt>
                <c:pt idx="10" formatCode="0">
                  <c:v>189229.08910859999</c:v>
                </c:pt>
                <c:pt idx="11" formatCode="0">
                  <c:v>202520.7585661</c:v>
                </c:pt>
                <c:pt idx="12" formatCode="0">
                  <c:v>216242.97</c:v>
                </c:pt>
                <c:pt idx="13" formatCode="0">
                  <c:v>222516.95003010001</c:v>
                </c:pt>
                <c:pt idx="14" formatCode="0">
                  <c:v>206462.3070263</c:v>
                </c:pt>
                <c:pt idx="15" formatCode="0.00">
                  <c:v>151140.66</c:v>
                </c:pt>
              </c:numCache>
            </c:numRef>
          </c:val>
          <c:smooth val="0"/>
          <c:extLst>
            <c:ext xmlns:c16="http://schemas.microsoft.com/office/drawing/2014/chart" uri="{C3380CC4-5D6E-409C-BE32-E72D297353CC}">
              <c16:uniqueId val="{00000000-C3C9-4EF6-9B6A-9C06D3B6F00D}"/>
            </c:ext>
          </c:extLst>
        </c:ser>
        <c:dLbls>
          <c:showLegendKey val="0"/>
          <c:showVal val="0"/>
          <c:showCatName val="0"/>
          <c:showSerName val="0"/>
          <c:showPercent val="0"/>
          <c:showBubbleSize val="0"/>
        </c:dLbls>
        <c:smooth val="0"/>
        <c:axId val="1388845328"/>
        <c:axId val="1388852400"/>
      </c:lineChart>
      <c:catAx>
        <c:axId val="138884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2400"/>
        <c:crosses val="autoZero"/>
        <c:auto val="1"/>
        <c:lblAlgn val="ctr"/>
        <c:lblOffset val="100"/>
        <c:noMultiLvlLbl val="0"/>
      </c:catAx>
      <c:valAx>
        <c:axId val="1388852400"/>
        <c:scaling>
          <c:orientation val="minMax"/>
          <c:min val="10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Rajasthan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14F6-40C7-B3CE-2824036BFA5A}"/>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14F6-40C7-B3CE-2824036BFA5A}"/>
              </c:ext>
            </c:extLst>
          </c:dPt>
          <c:cat>
            <c:strRef>
              <c:f>'bank credit trend graph data'!$A$30:$A$42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data'!$B$30:$B$42</c:f>
              <c:numCache>
                <c:formatCode>0</c:formatCode>
                <c:ptCount val="13"/>
                <c:pt idx="0">
                  <c:v>210381.21687999999</c:v>
                </c:pt>
                <c:pt idx="1">
                  <c:v>219642.88902999999</c:v>
                </c:pt>
                <c:pt idx="2">
                  <c:v>239794.16031000001</c:v>
                </c:pt>
                <c:pt idx="3">
                  <c:v>254381.59377000001</c:v>
                </c:pt>
                <c:pt idx="4">
                  <c:v>258400.09106000001</c:v>
                </c:pt>
                <c:pt idx="5">
                  <c:v>267522.86287000001</c:v>
                </c:pt>
                <c:pt idx="6">
                  <c:v>287761.12274000002</c:v>
                </c:pt>
                <c:pt idx="7">
                  <c:v>307134.11463000003</c:v>
                </c:pt>
                <c:pt idx="8">
                  <c:v>309782.11241026298</c:v>
                </c:pt>
                <c:pt idx="9">
                  <c:v>315149.03420296003</c:v>
                </c:pt>
                <c:pt idx="10">
                  <c:v>327128.72278628999</c:v>
                </c:pt>
                <c:pt idx="11">
                  <c:v>351977.36118681077</c:v>
                </c:pt>
                <c:pt idx="12">
                  <c:v>354480.4827658353</c:v>
                </c:pt>
              </c:numCache>
            </c:numRef>
          </c:val>
          <c:smooth val="0"/>
          <c:extLst>
            <c:ext xmlns:c16="http://schemas.microsoft.com/office/drawing/2014/chart" uri="{C3380CC4-5D6E-409C-BE32-E72D297353CC}">
              <c16:uniqueId val="{00000004-14F6-40C7-B3CE-2824036BFA5A}"/>
            </c:ext>
          </c:extLst>
        </c:ser>
        <c:dLbls>
          <c:showLegendKey val="0"/>
          <c:showVal val="0"/>
          <c:showCatName val="0"/>
          <c:showSerName val="0"/>
          <c:showPercent val="0"/>
          <c:showBubbleSize val="0"/>
        </c:dLbls>
        <c:smooth val="0"/>
        <c:axId val="1270280112"/>
        <c:axId val="1270270320"/>
      </c:lineChart>
      <c:catAx>
        <c:axId val="1270280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0320"/>
        <c:crosses val="autoZero"/>
        <c:auto val="1"/>
        <c:lblAlgn val="ctr"/>
        <c:lblOffset val="100"/>
        <c:noMultiLvlLbl val="0"/>
      </c:catAx>
      <c:valAx>
        <c:axId val="1270270320"/>
        <c:scaling>
          <c:orientation val="minMax"/>
          <c:min val="2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0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Madhya Pradesh</a:t>
            </a:r>
            <a:r>
              <a:rPr lang="en-IN" baseline="0"/>
              <a:t> </a:t>
            </a:r>
            <a:r>
              <a:rPr lang="en-IN"/>
              <a:t>Bank Credit (Rupees Crore)</a:t>
            </a:r>
          </a:p>
        </c:rich>
      </c:tx>
      <c:layout>
        <c:manualLayout>
          <c:xMode val="edge"/>
          <c:yMode val="edge"/>
          <c:x val="0.14973553465263628"/>
          <c:y val="3.317387959613252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48D2-4E1F-96E1-DA003CB11045}"/>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48D2-4E1F-96E1-DA003CB11045}"/>
              </c:ext>
            </c:extLst>
          </c:dPt>
          <c:cat>
            <c:strRef>
              <c:f>'bank credit trend graph data'!$A$75:$A$87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data'!$B$75:$B$87</c:f>
              <c:numCache>
                <c:formatCode>0</c:formatCode>
                <c:ptCount val="13"/>
                <c:pt idx="0">
                  <c:v>200807.95447</c:v>
                </c:pt>
                <c:pt idx="1">
                  <c:v>205860.11150999999</c:v>
                </c:pt>
                <c:pt idx="2">
                  <c:v>214726.13333000001</c:v>
                </c:pt>
                <c:pt idx="3">
                  <c:v>221512.29303</c:v>
                </c:pt>
                <c:pt idx="4">
                  <c:v>228875.35931999999</c:v>
                </c:pt>
                <c:pt idx="5">
                  <c:v>235715.66177000001</c:v>
                </c:pt>
                <c:pt idx="6">
                  <c:v>242710.34697000001</c:v>
                </c:pt>
                <c:pt idx="7">
                  <c:v>249289.85315000001</c:v>
                </c:pt>
                <c:pt idx="8">
                  <c:v>253399.85293187099</c:v>
                </c:pt>
                <c:pt idx="9">
                  <c:v>256985.29355899</c:v>
                </c:pt>
                <c:pt idx="10">
                  <c:v>268310.25844026997</c:v>
                </c:pt>
                <c:pt idx="11">
                  <c:v>274906.45440103032</c:v>
                </c:pt>
                <c:pt idx="12">
                  <c:v>280368.2306553307</c:v>
                </c:pt>
              </c:numCache>
            </c:numRef>
          </c:val>
          <c:smooth val="0"/>
          <c:extLst>
            <c:ext xmlns:c16="http://schemas.microsoft.com/office/drawing/2014/chart" uri="{C3380CC4-5D6E-409C-BE32-E72D297353CC}">
              <c16:uniqueId val="{00000004-48D2-4E1F-96E1-DA003CB11045}"/>
            </c:ext>
          </c:extLst>
        </c:ser>
        <c:dLbls>
          <c:showLegendKey val="0"/>
          <c:showVal val="0"/>
          <c:showCatName val="0"/>
          <c:showSerName val="0"/>
          <c:showPercent val="0"/>
          <c:showBubbleSize val="0"/>
        </c:dLbls>
        <c:smooth val="0"/>
        <c:axId val="1270281744"/>
        <c:axId val="1270274128"/>
      </c:lineChart>
      <c:catAx>
        <c:axId val="127028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4128"/>
        <c:crosses val="autoZero"/>
        <c:auto val="1"/>
        <c:lblAlgn val="ctr"/>
        <c:lblOffset val="100"/>
        <c:noMultiLvlLbl val="0"/>
      </c:catAx>
      <c:valAx>
        <c:axId val="1270274128"/>
        <c:scaling>
          <c:orientation val="minMax"/>
          <c:min val="1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1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Uttar Pradesh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A831-4A08-BC50-55AFFA980122}"/>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A831-4A08-BC50-55AFFA980122}"/>
              </c:ext>
            </c:extLst>
          </c:dPt>
          <c:cat>
            <c:strRef>
              <c:f>'bank credit trend graph data'!$D$15:$D$27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data'!$E$15:$E$27</c:f>
              <c:numCache>
                <c:formatCode>0</c:formatCode>
                <c:ptCount val="13"/>
                <c:pt idx="0">
                  <c:v>350917.99864000001</c:v>
                </c:pt>
                <c:pt idx="1">
                  <c:v>349848.94198</c:v>
                </c:pt>
                <c:pt idx="2">
                  <c:v>370498.47</c:v>
                </c:pt>
                <c:pt idx="3">
                  <c:v>391891.67862000002</c:v>
                </c:pt>
                <c:pt idx="4">
                  <c:v>392451.09125</c:v>
                </c:pt>
                <c:pt idx="5">
                  <c:v>404092.98719999997</c:v>
                </c:pt>
                <c:pt idx="6">
                  <c:v>419468.58058000001</c:v>
                </c:pt>
                <c:pt idx="7">
                  <c:v>439715.92048999999</c:v>
                </c:pt>
                <c:pt idx="8">
                  <c:v>441716.41237783403</c:v>
                </c:pt>
                <c:pt idx="9">
                  <c:v>450319.06385760999</c:v>
                </c:pt>
                <c:pt idx="10">
                  <c:v>460417.19115442998</c:v>
                </c:pt>
                <c:pt idx="11">
                  <c:v>486211.34825612465</c:v>
                </c:pt>
                <c:pt idx="12">
                  <c:v>488905.23235744424</c:v>
                </c:pt>
              </c:numCache>
            </c:numRef>
          </c:val>
          <c:smooth val="0"/>
          <c:extLst>
            <c:ext xmlns:c16="http://schemas.microsoft.com/office/drawing/2014/chart" uri="{C3380CC4-5D6E-409C-BE32-E72D297353CC}">
              <c16:uniqueId val="{00000004-A831-4A08-BC50-55AFFA980122}"/>
            </c:ext>
          </c:extLst>
        </c:ser>
        <c:dLbls>
          <c:showLegendKey val="0"/>
          <c:showVal val="0"/>
          <c:showCatName val="0"/>
          <c:showSerName val="0"/>
          <c:showPercent val="0"/>
          <c:showBubbleSize val="0"/>
        </c:dLbls>
        <c:smooth val="0"/>
        <c:axId val="1270273584"/>
        <c:axId val="1270272496"/>
      </c:lineChart>
      <c:catAx>
        <c:axId val="127027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2496"/>
        <c:crosses val="autoZero"/>
        <c:auto val="1"/>
        <c:lblAlgn val="ctr"/>
        <c:lblOffset val="100"/>
        <c:noMultiLvlLbl val="0"/>
      </c:catAx>
      <c:valAx>
        <c:axId val="1270272496"/>
        <c:scaling>
          <c:orientation val="minMax"/>
          <c:min val="32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3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West Bengal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5FDC-443A-80DD-E838E8D858F4}"/>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5FDC-443A-80DD-E838E8D858F4}"/>
              </c:ext>
            </c:extLst>
          </c:dPt>
          <c:cat>
            <c:strRef>
              <c:f>'bank credit trend graph data'!$A$60:$A$72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data'!$B$60:$B$72</c:f>
              <c:numCache>
                <c:formatCode>0</c:formatCode>
                <c:ptCount val="13"/>
                <c:pt idx="0">
                  <c:v>343167.72480000003</c:v>
                </c:pt>
                <c:pt idx="1">
                  <c:v>346241.89951000002</c:v>
                </c:pt>
                <c:pt idx="2">
                  <c:v>356041.54577999999</c:v>
                </c:pt>
                <c:pt idx="3">
                  <c:v>364453.54902999999</c:v>
                </c:pt>
                <c:pt idx="4">
                  <c:v>360731.15583</c:v>
                </c:pt>
                <c:pt idx="5">
                  <c:v>368262.65626000002</c:v>
                </c:pt>
                <c:pt idx="6">
                  <c:v>366720.57023999997</c:v>
                </c:pt>
                <c:pt idx="7">
                  <c:v>379817.16281000001</c:v>
                </c:pt>
                <c:pt idx="8">
                  <c:v>375670.55021839601</c:v>
                </c:pt>
                <c:pt idx="9">
                  <c:v>383383.41927302</c:v>
                </c:pt>
                <c:pt idx="10">
                  <c:v>388390.21600041998</c:v>
                </c:pt>
                <c:pt idx="11">
                  <c:v>397444.93029503908</c:v>
                </c:pt>
                <c:pt idx="12">
                  <c:v>393602.57611618406</c:v>
                </c:pt>
              </c:numCache>
            </c:numRef>
          </c:val>
          <c:smooth val="0"/>
          <c:extLst>
            <c:ext xmlns:c16="http://schemas.microsoft.com/office/drawing/2014/chart" uri="{C3380CC4-5D6E-409C-BE32-E72D297353CC}">
              <c16:uniqueId val="{00000004-5FDC-443A-80DD-E838E8D858F4}"/>
            </c:ext>
          </c:extLst>
        </c:ser>
        <c:dLbls>
          <c:showLegendKey val="0"/>
          <c:showVal val="0"/>
          <c:showCatName val="0"/>
          <c:showSerName val="0"/>
          <c:showPercent val="0"/>
          <c:showBubbleSize val="0"/>
        </c:dLbls>
        <c:smooth val="0"/>
        <c:axId val="1270275760"/>
        <c:axId val="1270278480"/>
      </c:lineChart>
      <c:catAx>
        <c:axId val="127027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8480"/>
        <c:crosses val="autoZero"/>
        <c:auto val="1"/>
        <c:lblAlgn val="ctr"/>
        <c:lblOffset val="100"/>
        <c:noMultiLvlLbl val="0"/>
      </c:catAx>
      <c:valAx>
        <c:axId val="1270278480"/>
        <c:scaling>
          <c:orientation val="minMax"/>
          <c:min val="3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57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Bihar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17B4-470D-9895-71C58E61CA37}"/>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17B4-470D-9895-71C58E61CA37}"/>
              </c:ext>
            </c:extLst>
          </c:dPt>
          <c:cat>
            <c:strRef>
              <c:f>'bank credit trend graph data'!$A$45:$A$57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data'!$B$45:$B$57</c:f>
              <c:numCache>
                <c:formatCode>0</c:formatCode>
                <c:ptCount val="13"/>
                <c:pt idx="0">
                  <c:v>91209.997499999998</c:v>
                </c:pt>
                <c:pt idx="1">
                  <c:v>91522.731700000004</c:v>
                </c:pt>
                <c:pt idx="2">
                  <c:v>95856.035810000001</c:v>
                </c:pt>
                <c:pt idx="3">
                  <c:v>101510.57809</c:v>
                </c:pt>
                <c:pt idx="4">
                  <c:v>102553.74256</c:v>
                </c:pt>
                <c:pt idx="5">
                  <c:v>106850.78273000001</c:v>
                </c:pt>
                <c:pt idx="6">
                  <c:v>110130.90691999999</c:v>
                </c:pt>
                <c:pt idx="7">
                  <c:v>120287.13906</c:v>
                </c:pt>
                <c:pt idx="8">
                  <c:v>124561.58493020599</c:v>
                </c:pt>
                <c:pt idx="9">
                  <c:v>126013.79256633999</c:v>
                </c:pt>
                <c:pt idx="10">
                  <c:v>131169.72645667</c:v>
                </c:pt>
                <c:pt idx="11">
                  <c:v>136870.69382766521</c:v>
                </c:pt>
                <c:pt idx="12">
                  <c:v>140737.55533362229</c:v>
                </c:pt>
              </c:numCache>
            </c:numRef>
          </c:val>
          <c:smooth val="0"/>
          <c:extLst>
            <c:ext xmlns:c16="http://schemas.microsoft.com/office/drawing/2014/chart" uri="{C3380CC4-5D6E-409C-BE32-E72D297353CC}">
              <c16:uniqueId val="{00000004-17B4-470D-9895-71C58E61CA37}"/>
            </c:ext>
          </c:extLst>
        </c:ser>
        <c:dLbls>
          <c:showLegendKey val="0"/>
          <c:showVal val="0"/>
          <c:showCatName val="0"/>
          <c:showSerName val="0"/>
          <c:showPercent val="0"/>
          <c:showBubbleSize val="0"/>
        </c:dLbls>
        <c:smooth val="0"/>
        <c:axId val="1270273040"/>
        <c:axId val="1270282288"/>
      </c:lineChart>
      <c:catAx>
        <c:axId val="1270273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2288"/>
        <c:crosses val="autoZero"/>
        <c:auto val="1"/>
        <c:lblAlgn val="ctr"/>
        <c:lblOffset val="100"/>
        <c:noMultiLvlLbl val="0"/>
      </c:catAx>
      <c:valAx>
        <c:axId val="1270282288"/>
        <c:scaling>
          <c:orientation val="minMax"/>
          <c:min val="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30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Andhra Pradesh </a:t>
            </a:r>
            <a:r>
              <a:rPr lang="en-IN"/>
              <a:t>Bank Credit (Rupees Crore)</a:t>
            </a:r>
          </a:p>
        </c:rich>
      </c:tx>
      <c:layout>
        <c:manualLayout>
          <c:xMode val="edge"/>
          <c:yMode val="edge"/>
          <c:x val="0.17040998383326159"/>
          <c:y val="2.84881889763779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4455-485A-AD8E-4BACDAFCBECF}"/>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4455-485A-AD8E-4BACDAFCBECF}"/>
              </c:ext>
            </c:extLst>
          </c:dPt>
          <c:cat>
            <c:strRef>
              <c:f>'bank credit trend graph data'!$D$60:$D$72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data'!$E$60:$E$72</c:f>
              <c:numCache>
                <c:formatCode>0</c:formatCode>
                <c:ptCount val="13"/>
                <c:pt idx="0">
                  <c:v>256876.43536</c:v>
                </c:pt>
                <c:pt idx="1">
                  <c:v>267815.66288000002</c:v>
                </c:pt>
                <c:pt idx="2">
                  <c:v>291350.11978000001</c:v>
                </c:pt>
                <c:pt idx="3">
                  <c:v>310457.32990999997</c:v>
                </c:pt>
                <c:pt idx="4">
                  <c:v>315511.36803999997</c:v>
                </c:pt>
                <c:pt idx="5">
                  <c:v>327806.26486</c:v>
                </c:pt>
                <c:pt idx="6">
                  <c:v>346736.45791</c:v>
                </c:pt>
                <c:pt idx="7">
                  <c:v>366563.46520999999</c:v>
                </c:pt>
                <c:pt idx="8">
                  <c:v>368120.47358250298</c:v>
                </c:pt>
                <c:pt idx="9">
                  <c:v>379017.19822826999</c:v>
                </c:pt>
                <c:pt idx="10">
                  <c:v>391642.77317220002</c:v>
                </c:pt>
                <c:pt idx="11">
                  <c:v>419462.23477837828</c:v>
                </c:pt>
                <c:pt idx="12">
                  <c:v>421438.54195200541</c:v>
                </c:pt>
              </c:numCache>
            </c:numRef>
          </c:val>
          <c:smooth val="0"/>
          <c:extLst>
            <c:ext xmlns:c16="http://schemas.microsoft.com/office/drawing/2014/chart" uri="{C3380CC4-5D6E-409C-BE32-E72D297353CC}">
              <c16:uniqueId val="{00000004-4455-485A-AD8E-4BACDAFCBECF}"/>
            </c:ext>
          </c:extLst>
        </c:ser>
        <c:dLbls>
          <c:showLegendKey val="0"/>
          <c:showVal val="0"/>
          <c:showCatName val="0"/>
          <c:showSerName val="0"/>
          <c:showPercent val="0"/>
          <c:showBubbleSize val="0"/>
        </c:dLbls>
        <c:smooth val="0"/>
        <c:axId val="1270277392"/>
        <c:axId val="1270269776"/>
      </c:lineChart>
      <c:catAx>
        <c:axId val="127027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69776"/>
        <c:crosses val="autoZero"/>
        <c:auto val="1"/>
        <c:lblAlgn val="ctr"/>
        <c:lblOffset val="100"/>
        <c:noMultiLvlLbl val="0"/>
      </c:catAx>
      <c:valAx>
        <c:axId val="1270269776"/>
        <c:scaling>
          <c:orientation val="minMax"/>
          <c:min val="2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7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Karnataka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E27C-4D52-B943-A210978B4848}"/>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E27C-4D52-B943-A210978B4848}"/>
              </c:ext>
            </c:extLst>
          </c:dPt>
          <c:cat>
            <c:strRef>
              <c:f>'bank credit trend graph data'!$G$91:$G$103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data'!$H$91:$H$103</c:f>
              <c:numCache>
                <c:formatCode>General</c:formatCode>
                <c:ptCount val="13"/>
                <c:pt idx="0">
                  <c:v>249750.54055757757</c:v>
                </c:pt>
                <c:pt idx="1">
                  <c:v>261031.13502763689</c:v>
                </c:pt>
                <c:pt idx="2">
                  <c:v>271971.34629016358</c:v>
                </c:pt>
                <c:pt idx="3">
                  <c:v>284226.39240322681</c:v>
                </c:pt>
                <c:pt idx="4">
                  <c:v>287961.22550112405</c:v>
                </c:pt>
                <c:pt idx="5">
                  <c:v>299241.81997118331</c:v>
                </c:pt>
                <c:pt idx="6">
                  <c:v>310182.03123371</c:v>
                </c:pt>
                <c:pt idx="7">
                  <c:v>322437.07734677324</c:v>
                </c:pt>
                <c:pt idx="8">
                  <c:v>326171.91044467047</c:v>
                </c:pt>
                <c:pt idx="9">
                  <c:v>337452.5049147298</c:v>
                </c:pt>
                <c:pt idx="10">
                  <c:v>348392.71617725643</c:v>
                </c:pt>
                <c:pt idx="11">
                  <c:v>360647.76229031966</c:v>
                </c:pt>
                <c:pt idx="12">
                  <c:v>364382.5953882169</c:v>
                </c:pt>
              </c:numCache>
            </c:numRef>
          </c:val>
          <c:smooth val="0"/>
          <c:extLst>
            <c:ext xmlns:c16="http://schemas.microsoft.com/office/drawing/2014/chart" uri="{C3380CC4-5D6E-409C-BE32-E72D297353CC}">
              <c16:uniqueId val="{00000004-E27C-4D52-B943-A210978B4848}"/>
            </c:ext>
          </c:extLst>
        </c:ser>
        <c:dLbls>
          <c:showLegendKey val="0"/>
          <c:showVal val="0"/>
          <c:showCatName val="0"/>
          <c:showSerName val="0"/>
          <c:showPercent val="0"/>
          <c:showBubbleSize val="0"/>
        </c:dLbls>
        <c:smooth val="0"/>
        <c:axId val="1270276304"/>
        <c:axId val="1270283920"/>
      </c:lineChart>
      <c:catAx>
        <c:axId val="1270276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83920"/>
        <c:crosses val="autoZero"/>
        <c:auto val="1"/>
        <c:lblAlgn val="ctr"/>
        <c:lblOffset val="100"/>
        <c:noMultiLvlLbl val="0"/>
      </c:catAx>
      <c:valAx>
        <c:axId val="1270283920"/>
        <c:scaling>
          <c:orientation val="minMax"/>
          <c:min val="22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0276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Telangana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BC39-42AA-B34E-356A98D3EFB3}"/>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BC39-42AA-B34E-356A98D3EFB3}"/>
              </c:ext>
            </c:extLst>
          </c:dPt>
          <c:cat>
            <c:strRef>
              <c:f>'bank credit trend graph data'!$D$91:$D$103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data'!$E$91:$E$103</c:f>
              <c:numCache>
                <c:formatCode>0</c:formatCode>
                <c:ptCount val="13"/>
                <c:pt idx="0">
                  <c:v>406586.28427056293</c:v>
                </c:pt>
                <c:pt idx="1">
                  <c:v>415146.29802148254</c:v>
                </c:pt>
                <c:pt idx="2">
                  <c:v>430861.47125864262</c:v>
                </c:pt>
                <c:pt idx="3">
                  <c:v>445444.21356441296</c:v>
                </c:pt>
                <c:pt idx="4">
                  <c:v>442868.39877173689</c:v>
                </c:pt>
                <c:pt idx="5">
                  <c:v>451428.41252265655</c:v>
                </c:pt>
                <c:pt idx="6">
                  <c:v>467143.58575981663</c:v>
                </c:pt>
                <c:pt idx="7">
                  <c:v>481726.32806558692</c:v>
                </c:pt>
                <c:pt idx="8">
                  <c:v>479150.5132729109</c:v>
                </c:pt>
                <c:pt idx="9">
                  <c:v>487710.52702383057</c:v>
                </c:pt>
                <c:pt idx="10">
                  <c:v>503425.70026099059</c:v>
                </c:pt>
                <c:pt idx="11">
                  <c:v>518008.44256676093</c:v>
                </c:pt>
                <c:pt idx="12">
                  <c:v>515432.62777408492</c:v>
                </c:pt>
              </c:numCache>
            </c:numRef>
          </c:val>
          <c:smooth val="0"/>
          <c:extLst>
            <c:ext xmlns:c16="http://schemas.microsoft.com/office/drawing/2014/chart" uri="{C3380CC4-5D6E-409C-BE32-E72D297353CC}">
              <c16:uniqueId val="{00000004-BC39-42AA-B34E-356A98D3EFB3}"/>
            </c:ext>
          </c:extLst>
        </c:ser>
        <c:dLbls>
          <c:showLegendKey val="0"/>
          <c:showVal val="0"/>
          <c:showCatName val="0"/>
          <c:showSerName val="0"/>
          <c:showPercent val="0"/>
          <c:showBubbleSize val="0"/>
        </c:dLbls>
        <c:smooth val="0"/>
        <c:axId val="1109874816"/>
        <c:axId val="1109871552"/>
      </c:lineChart>
      <c:catAx>
        <c:axId val="110987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1552"/>
        <c:crosses val="autoZero"/>
        <c:auto val="1"/>
        <c:lblAlgn val="ctr"/>
        <c:lblOffset val="100"/>
        <c:noMultiLvlLbl val="0"/>
      </c:catAx>
      <c:valAx>
        <c:axId val="1109871552"/>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4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Kerala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1-B2FD-4EA4-BF95-F30FCB2851AA}"/>
              </c:ext>
            </c:extLst>
          </c:dPt>
          <c:dPt>
            <c:idx val="12"/>
            <c:marker>
              <c:symbol val="none"/>
            </c:marker>
            <c:bubble3D val="0"/>
            <c:spPr>
              <a:ln w="28575" cap="rnd">
                <a:solidFill>
                  <a:schemeClr val="accent1"/>
                </a:solidFill>
                <a:prstDash val="sysDot"/>
                <a:round/>
              </a:ln>
              <a:effectLst/>
            </c:spPr>
            <c:extLst>
              <c:ext xmlns:c16="http://schemas.microsoft.com/office/drawing/2014/chart" uri="{C3380CC4-5D6E-409C-BE32-E72D297353CC}">
                <c16:uniqueId val="{00000003-B2FD-4EA4-BF95-F30FCB2851AA}"/>
              </c:ext>
            </c:extLst>
          </c:dPt>
          <c:cat>
            <c:strRef>
              <c:f>'bank credit trend graph data'!$A$91:$A$103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data'!$B$91:$B$103</c:f>
              <c:numCache>
                <c:formatCode>0</c:formatCode>
                <c:ptCount val="13"/>
                <c:pt idx="0">
                  <c:v>530090.57970172423</c:v>
                </c:pt>
                <c:pt idx="1">
                  <c:v>545629.1685746765</c:v>
                </c:pt>
                <c:pt idx="2">
                  <c:v>559741.07820117986</c:v>
                </c:pt>
                <c:pt idx="3">
                  <c:v>587670.77060254826</c:v>
                </c:pt>
                <c:pt idx="4">
                  <c:v>590375.80605662777</c:v>
                </c:pt>
                <c:pt idx="5">
                  <c:v>605914.39492958004</c:v>
                </c:pt>
                <c:pt idx="6">
                  <c:v>620026.3045560834</c:v>
                </c:pt>
                <c:pt idx="7">
                  <c:v>647955.9969574518</c:v>
                </c:pt>
                <c:pt idx="8">
                  <c:v>650661.03241153131</c:v>
                </c:pt>
                <c:pt idx="9">
                  <c:v>666199.62128448358</c:v>
                </c:pt>
                <c:pt idx="10">
                  <c:v>680311.53091098694</c:v>
                </c:pt>
                <c:pt idx="11">
                  <c:v>708241.22331235535</c:v>
                </c:pt>
                <c:pt idx="12">
                  <c:v>710946.25876643485</c:v>
                </c:pt>
              </c:numCache>
            </c:numRef>
          </c:val>
          <c:smooth val="0"/>
          <c:extLst>
            <c:ext xmlns:c16="http://schemas.microsoft.com/office/drawing/2014/chart" uri="{C3380CC4-5D6E-409C-BE32-E72D297353CC}">
              <c16:uniqueId val="{00000004-B2FD-4EA4-BF95-F30FCB2851AA}"/>
            </c:ext>
          </c:extLst>
        </c:ser>
        <c:dLbls>
          <c:showLegendKey val="0"/>
          <c:showVal val="0"/>
          <c:showCatName val="0"/>
          <c:showSerName val="0"/>
          <c:showPercent val="0"/>
          <c:showBubbleSize val="0"/>
        </c:dLbls>
        <c:smooth val="0"/>
        <c:axId val="1109872096"/>
        <c:axId val="1109875360"/>
      </c:lineChart>
      <c:catAx>
        <c:axId val="1109872096"/>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5360"/>
        <c:crosses val="autoZero"/>
        <c:auto val="1"/>
        <c:lblAlgn val="ctr"/>
        <c:lblOffset val="100"/>
        <c:noMultiLvlLbl val="0"/>
      </c:catAx>
      <c:valAx>
        <c:axId val="1109875360"/>
        <c:scaling>
          <c:orientation val="minMax"/>
          <c:min val="5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9872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Cards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graphs'!$A$116:$A$130</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graphs'!$D$116:$D$130</c:f>
              <c:numCache>
                <c:formatCode>0.00</c:formatCode>
                <c:ptCount val="15"/>
                <c:pt idx="0">
                  <c:v>1595.6539700000001</c:v>
                </c:pt>
                <c:pt idx="1">
                  <c:v>1413.3617899999999</c:v>
                </c:pt>
                <c:pt idx="2">
                  <c:v>1624.11418</c:v>
                </c:pt>
                <c:pt idx="3">
                  <c:v>1669.20586</c:v>
                </c:pt>
                <c:pt idx="4">
                  <c:v>1731.5309</c:v>
                </c:pt>
                <c:pt idx="5">
                  <c:v>1632.3348900000001</c:v>
                </c:pt>
                <c:pt idx="6">
                  <c:v>1784.15705</c:v>
                </c:pt>
                <c:pt idx="7">
                  <c:v>1795.7322899999999</c:v>
                </c:pt>
                <c:pt idx="8">
                  <c:v>1794.7052200000001</c:v>
                </c:pt>
                <c:pt idx="9">
                  <c:v>2027.6266499999999</c:v>
                </c:pt>
                <c:pt idx="10" formatCode="General">
                  <c:v>1824.94</c:v>
                </c:pt>
                <c:pt idx="11" formatCode="General">
                  <c:v>2049.6802699999998</c:v>
                </c:pt>
                <c:pt idx="12">
                  <c:v>2029.2882500000001</c:v>
                </c:pt>
                <c:pt idx="13" formatCode="General">
                  <c:v>1895.0095799999999</c:v>
                </c:pt>
                <c:pt idx="14">
                  <c:v>1646.7</c:v>
                </c:pt>
              </c:numCache>
            </c:numRef>
          </c:val>
          <c:smooth val="0"/>
          <c:extLst>
            <c:ext xmlns:c16="http://schemas.microsoft.com/office/drawing/2014/chart" uri="{C3380CC4-5D6E-409C-BE32-E72D297353CC}">
              <c16:uniqueId val="{00000000-91F3-49C8-8CD6-285348F5D0DA}"/>
            </c:ext>
          </c:extLst>
        </c:ser>
        <c:dLbls>
          <c:showLegendKey val="0"/>
          <c:showVal val="0"/>
          <c:showCatName val="0"/>
          <c:showSerName val="0"/>
          <c:showPercent val="0"/>
          <c:showBubbleSize val="0"/>
        </c:dLbls>
        <c:smooth val="0"/>
        <c:axId val="1388848592"/>
        <c:axId val="1388846960"/>
      </c:lineChart>
      <c:catAx>
        <c:axId val="1388848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6960"/>
        <c:crosses val="autoZero"/>
        <c:auto val="1"/>
        <c:lblAlgn val="ctr"/>
        <c:lblOffset val="100"/>
        <c:noMultiLvlLbl val="0"/>
      </c:catAx>
      <c:valAx>
        <c:axId val="1388846960"/>
        <c:scaling>
          <c:orientation val="minMax"/>
          <c:min val="1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8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Credit Cards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graphs'!$A$116:$A$130</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graphs'!$E$116:$E$130</c:f>
              <c:numCache>
                <c:formatCode>0</c:formatCode>
                <c:ptCount val="15"/>
                <c:pt idx="0">
                  <c:v>54951.735200000003</c:v>
                </c:pt>
                <c:pt idx="1">
                  <c:v>48496.157500000001</c:v>
                </c:pt>
                <c:pt idx="2">
                  <c:v>57663.813099999999</c:v>
                </c:pt>
                <c:pt idx="3">
                  <c:v>57714.034899999999</c:v>
                </c:pt>
                <c:pt idx="4">
                  <c:v>61282.464599999999</c:v>
                </c:pt>
                <c:pt idx="5">
                  <c:v>56928.4156</c:v>
                </c:pt>
                <c:pt idx="6">
                  <c:v>59616.386200000001</c:v>
                </c:pt>
                <c:pt idx="7">
                  <c:v>59600.589500000002</c:v>
                </c:pt>
                <c:pt idx="8">
                  <c:v>59453.132599999997</c:v>
                </c:pt>
                <c:pt idx="9">
                  <c:v>71138.7255</c:v>
                </c:pt>
                <c:pt idx="10">
                  <c:v>60130</c:v>
                </c:pt>
                <c:pt idx="11">
                  <c:v>66186.399999999994</c:v>
                </c:pt>
                <c:pt idx="12">
                  <c:v>67002.25</c:v>
                </c:pt>
                <c:pt idx="13">
                  <c:v>62523.09</c:v>
                </c:pt>
                <c:pt idx="14">
                  <c:v>50696</c:v>
                </c:pt>
              </c:numCache>
            </c:numRef>
          </c:val>
          <c:smooth val="0"/>
          <c:extLst>
            <c:ext xmlns:c16="http://schemas.microsoft.com/office/drawing/2014/chart" uri="{C3380CC4-5D6E-409C-BE32-E72D297353CC}">
              <c16:uniqueId val="{00000000-19CD-41CC-8A4E-DBC991070241}"/>
            </c:ext>
          </c:extLst>
        </c:ser>
        <c:dLbls>
          <c:showLegendKey val="0"/>
          <c:showVal val="0"/>
          <c:showCatName val="0"/>
          <c:showSerName val="0"/>
          <c:showPercent val="0"/>
          <c:showBubbleSize val="0"/>
        </c:dLbls>
        <c:smooth val="0"/>
        <c:axId val="1388847504"/>
        <c:axId val="1388852944"/>
      </c:lineChart>
      <c:catAx>
        <c:axId val="138884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2944"/>
        <c:crosses val="autoZero"/>
        <c:auto val="1"/>
        <c:lblAlgn val="ctr"/>
        <c:lblOffset val="100"/>
        <c:noMultiLvlLbl val="0"/>
      </c:catAx>
      <c:valAx>
        <c:axId val="1388852944"/>
        <c:scaling>
          <c:orientation val="minMax"/>
          <c:min val="45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7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ATMs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graphs'!$B$142:$B$156</c:f>
              <c:numCache>
                <c:formatCode>0.00</c:formatCode>
                <c:ptCount val="15"/>
                <c:pt idx="0">
                  <c:v>8804.8164799999995</c:v>
                </c:pt>
                <c:pt idx="1">
                  <c:v>8179.1522199999999</c:v>
                </c:pt>
                <c:pt idx="2">
                  <c:v>8914.2373900000002</c:v>
                </c:pt>
                <c:pt idx="3">
                  <c:v>8089.0904899999996</c:v>
                </c:pt>
                <c:pt idx="4">
                  <c:v>8157.1020399999998</c:v>
                </c:pt>
                <c:pt idx="5">
                  <c:v>8004.8406299999997</c:v>
                </c:pt>
                <c:pt idx="6">
                  <c:v>8160.1477000000004</c:v>
                </c:pt>
                <c:pt idx="7">
                  <c:v>8143.0830900000001</c:v>
                </c:pt>
                <c:pt idx="8">
                  <c:v>7940.2151599999997</c:v>
                </c:pt>
                <c:pt idx="9">
                  <c:v>8590.4273200000007</c:v>
                </c:pt>
                <c:pt idx="10" formatCode="General">
                  <c:v>6396.61</c:v>
                </c:pt>
                <c:pt idx="11" formatCode="General">
                  <c:v>6620.57</c:v>
                </c:pt>
                <c:pt idx="12" formatCode="General">
                  <c:v>6677.11</c:v>
                </c:pt>
                <c:pt idx="13" formatCode="General">
                  <c:v>6330.42</c:v>
                </c:pt>
                <c:pt idx="14" formatCode="General">
                  <c:v>5556.01</c:v>
                </c:pt>
              </c:numCache>
            </c:numRef>
          </c:val>
          <c:smooth val="0"/>
          <c:extLst>
            <c:ext xmlns:c16="http://schemas.microsoft.com/office/drawing/2014/chart" uri="{C3380CC4-5D6E-409C-BE32-E72D297353CC}">
              <c16:uniqueId val="{00000000-EAC4-494C-B585-FCC44AB4BE38}"/>
            </c:ext>
          </c:extLst>
        </c:ser>
        <c:dLbls>
          <c:showLegendKey val="0"/>
          <c:showVal val="0"/>
          <c:showCatName val="0"/>
          <c:showSerName val="0"/>
          <c:showPercent val="0"/>
          <c:showBubbleSize val="0"/>
        </c:dLbls>
        <c:smooth val="0"/>
        <c:axId val="1388840976"/>
        <c:axId val="1388860560"/>
      </c:lineChart>
      <c:catAx>
        <c:axId val="1388840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0560"/>
        <c:crosses val="autoZero"/>
        <c:auto val="1"/>
        <c:lblAlgn val="ctr"/>
        <c:lblOffset val="100"/>
        <c:noMultiLvlLbl val="0"/>
      </c:catAx>
      <c:valAx>
        <c:axId val="1388860560"/>
        <c:scaling>
          <c:orientation val="minMax"/>
          <c:min val="5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0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ATMs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graphs'!$C$142:$C$156</c:f>
              <c:numCache>
                <c:formatCode>0</c:formatCode>
                <c:ptCount val="15"/>
                <c:pt idx="0">
                  <c:v>266124.19699999999</c:v>
                </c:pt>
                <c:pt idx="1">
                  <c:v>259430.73300000001</c:v>
                </c:pt>
                <c:pt idx="2">
                  <c:v>288999.21399999998</c:v>
                </c:pt>
                <c:pt idx="3">
                  <c:v>284396.33299999998</c:v>
                </c:pt>
                <c:pt idx="4">
                  <c:v>294666.75599999999</c:v>
                </c:pt>
                <c:pt idx="5">
                  <c:v>283402.89399999997</c:v>
                </c:pt>
                <c:pt idx="6">
                  <c:v>282132.75099999999</c:v>
                </c:pt>
                <c:pt idx="7">
                  <c:v>287447.52799999999</c:v>
                </c:pt>
                <c:pt idx="8">
                  <c:v>273786.42499999999</c:v>
                </c:pt>
                <c:pt idx="9">
                  <c:v>315632.80800000002</c:v>
                </c:pt>
                <c:pt idx="10" formatCode="General">
                  <c:v>304196</c:v>
                </c:pt>
                <c:pt idx="11" formatCode="General">
                  <c:v>313510</c:v>
                </c:pt>
                <c:pt idx="12" formatCode="General">
                  <c:v>319700</c:v>
                </c:pt>
                <c:pt idx="13" formatCode="General">
                  <c:v>307547</c:v>
                </c:pt>
                <c:pt idx="14" formatCode="General">
                  <c:v>267692</c:v>
                </c:pt>
              </c:numCache>
            </c:numRef>
          </c:val>
          <c:smooth val="0"/>
          <c:extLst>
            <c:ext xmlns:c16="http://schemas.microsoft.com/office/drawing/2014/chart" uri="{C3380CC4-5D6E-409C-BE32-E72D297353CC}">
              <c16:uniqueId val="{00000000-CEBC-4874-BC1F-BF94D450EDF7}"/>
            </c:ext>
          </c:extLst>
        </c:ser>
        <c:dLbls>
          <c:showLegendKey val="0"/>
          <c:showVal val="0"/>
          <c:showCatName val="0"/>
          <c:showSerName val="0"/>
          <c:showPercent val="0"/>
          <c:showBubbleSize val="0"/>
        </c:dLbls>
        <c:smooth val="0"/>
        <c:axId val="1388857840"/>
        <c:axId val="1388858928"/>
      </c:lineChart>
      <c:catAx>
        <c:axId val="1388857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8928"/>
        <c:crosses val="autoZero"/>
        <c:auto val="1"/>
        <c:lblAlgn val="ctr"/>
        <c:lblOffset val="100"/>
        <c:noMultiLvlLbl val="0"/>
      </c:catAx>
      <c:valAx>
        <c:axId val="1388858928"/>
        <c:scaling>
          <c:orientation val="minMax"/>
          <c:min val="25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7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POS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graphs'!$D$142:$D$156</c:f>
              <c:numCache>
                <c:formatCode>0.00</c:formatCode>
                <c:ptCount val="15"/>
                <c:pt idx="0">
                  <c:v>3735.31187</c:v>
                </c:pt>
                <c:pt idx="1">
                  <c:v>3464.8171000000002</c:v>
                </c:pt>
                <c:pt idx="2">
                  <c:v>4075.6568000000002</c:v>
                </c:pt>
                <c:pt idx="3">
                  <c:v>4130.80303</c:v>
                </c:pt>
                <c:pt idx="4">
                  <c:v>4125.3089600000003</c:v>
                </c:pt>
                <c:pt idx="5">
                  <c:v>4121.3542100000004</c:v>
                </c:pt>
                <c:pt idx="6">
                  <c:v>4256.4061199999996</c:v>
                </c:pt>
                <c:pt idx="7">
                  <c:v>4293.1926000000003</c:v>
                </c:pt>
                <c:pt idx="8">
                  <c:v>4149.3363399999998</c:v>
                </c:pt>
                <c:pt idx="9">
                  <c:v>4550.0056599999998</c:v>
                </c:pt>
                <c:pt idx="10" formatCode="General">
                  <c:v>4235.8599999999997</c:v>
                </c:pt>
                <c:pt idx="11">
                  <c:v>4511.5908200000003</c:v>
                </c:pt>
                <c:pt idx="12">
                  <c:v>4584.4709300000004</c:v>
                </c:pt>
                <c:pt idx="13">
                  <c:v>4296.7877099999996</c:v>
                </c:pt>
                <c:pt idx="14">
                  <c:v>3632.03523</c:v>
                </c:pt>
              </c:numCache>
            </c:numRef>
          </c:val>
          <c:smooth val="0"/>
          <c:extLst>
            <c:ext xmlns:c16="http://schemas.microsoft.com/office/drawing/2014/chart" uri="{C3380CC4-5D6E-409C-BE32-E72D297353CC}">
              <c16:uniqueId val="{00000000-501C-4842-A957-358F24B10EFF}"/>
            </c:ext>
          </c:extLst>
        </c:ser>
        <c:dLbls>
          <c:showLegendKey val="0"/>
          <c:showVal val="0"/>
          <c:showCatName val="0"/>
          <c:showSerName val="0"/>
          <c:showPercent val="0"/>
          <c:showBubbleSize val="0"/>
        </c:dLbls>
        <c:smooth val="0"/>
        <c:axId val="1388849680"/>
        <c:axId val="1388864912"/>
      </c:lineChart>
      <c:catAx>
        <c:axId val="1388849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4912"/>
        <c:crosses val="autoZero"/>
        <c:auto val="1"/>
        <c:lblAlgn val="ctr"/>
        <c:lblOffset val="100"/>
        <c:noMultiLvlLbl val="0"/>
      </c:catAx>
      <c:valAx>
        <c:axId val="1388864912"/>
        <c:scaling>
          <c:orientation val="minMax"/>
          <c:min val="3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49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Debit Cards Usage at POS Value (Rupees Crore)</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graphs'!$A$142:$A$156</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graphs'!$E$142:$E$156</c:f>
              <c:numCache>
                <c:formatCode>0</c:formatCode>
                <c:ptCount val="15"/>
                <c:pt idx="0">
                  <c:v>50568.2304</c:v>
                </c:pt>
                <c:pt idx="1">
                  <c:v>45508.902000000002</c:v>
                </c:pt>
                <c:pt idx="2">
                  <c:v>53011.148999999998</c:v>
                </c:pt>
                <c:pt idx="3">
                  <c:v>55350.873</c:v>
                </c:pt>
                <c:pt idx="4">
                  <c:v>58046.8033</c:v>
                </c:pt>
                <c:pt idx="5">
                  <c:v>57453.287700000001</c:v>
                </c:pt>
                <c:pt idx="6">
                  <c:v>58545.070200000002</c:v>
                </c:pt>
                <c:pt idx="7">
                  <c:v>58077.576099999998</c:v>
                </c:pt>
                <c:pt idx="8">
                  <c:v>55718.286500000002</c:v>
                </c:pt>
                <c:pt idx="9">
                  <c:v>70125.598499999993</c:v>
                </c:pt>
                <c:pt idx="10">
                  <c:v>57590</c:v>
                </c:pt>
                <c:pt idx="11">
                  <c:v>61997.81</c:v>
                </c:pt>
                <c:pt idx="12">
                  <c:v>62153.53</c:v>
                </c:pt>
                <c:pt idx="13">
                  <c:v>57840.51</c:v>
                </c:pt>
                <c:pt idx="14">
                  <c:v>47646</c:v>
                </c:pt>
              </c:numCache>
            </c:numRef>
          </c:val>
          <c:smooth val="0"/>
          <c:extLst>
            <c:ext xmlns:c16="http://schemas.microsoft.com/office/drawing/2014/chart" uri="{C3380CC4-5D6E-409C-BE32-E72D297353CC}">
              <c16:uniqueId val="{00000000-86B0-4401-B007-22600FAF3103}"/>
            </c:ext>
          </c:extLst>
        </c:ser>
        <c:dLbls>
          <c:showLegendKey val="0"/>
          <c:showVal val="0"/>
          <c:showCatName val="0"/>
          <c:showSerName val="0"/>
          <c:showPercent val="0"/>
          <c:showBubbleSize val="0"/>
        </c:dLbls>
        <c:smooth val="0"/>
        <c:axId val="1388856208"/>
        <c:axId val="1388864368"/>
      </c:lineChart>
      <c:catAx>
        <c:axId val="138885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64368"/>
        <c:crosses val="autoZero"/>
        <c:auto val="1"/>
        <c:lblAlgn val="ctr"/>
        <c:lblOffset val="100"/>
        <c:noMultiLvlLbl val="0"/>
      </c:catAx>
      <c:valAx>
        <c:axId val="1388864368"/>
        <c:scaling>
          <c:orientation val="minMax"/>
          <c:min val="40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6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PPI Wallets Volume (Lakhs)</a:t>
            </a:r>
            <a:endParaRPr lang="en-IN"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'Trend graphs'!$A$170:$A$184</c:f>
              <c:strCache>
                <c:ptCount val="15"/>
                <c:pt idx="0">
                  <c:v>Jan-2019</c:v>
                </c:pt>
                <c:pt idx="1">
                  <c:v>Feb-2019</c:v>
                </c:pt>
                <c:pt idx="2">
                  <c:v>Mar-2019</c:v>
                </c:pt>
                <c:pt idx="3">
                  <c:v>Apr-2019</c:v>
                </c:pt>
                <c:pt idx="4">
                  <c:v>May-2019</c:v>
                </c:pt>
                <c:pt idx="5">
                  <c:v>Jun-2019</c:v>
                </c:pt>
                <c:pt idx="6">
                  <c:v>Jul-2019</c:v>
                </c:pt>
                <c:pt idx="7">
                  <c:v>Aug-2019</c:v>
                </c:pt>
                <c:pt idx="8">
                  <c:v>Sep-2019</c:v>
                </c:pt>
                <c:pt idx="9">
                  <c:v>Oct-2019</c:v>
                </c:pt>
                <c:pt idx="10">
                  <c:v>Nov-2019</c:v>
                </c:pt>
                <c:pt idx="11">
                  <c:v>Dec-2019</c:v>
                </c:pt>
                <c:pt idx="12">
                  <c:v>Jan-2020</c:v>
                </c:pt>
                <c:pt idx="13">
                  <c:v>Feb-2020</c:v>
                </c:pt>
                <c:pt idx="14">
                  <c:v>Mar-2020</c:v>
                </c:pt>
              </c:strCache>
            </c:strRef>
          </c:cat>
          <c:val>
            <c:numRef>
              <c:f>'Trend graphs'!$B$170:$B$184</c:f>
              <c:numCache>
                <c:formatCode>0.00</c:formatCode>
                <c:ptCount val="15"/>
                <c:pt idx="0">
                  <c:v>3982.6644200000001</c:v>
                </c:pt>
                <c:pt idx="1">
                  <c:v>3448.27036</c:v>
                </c:pt>
                <c:pt idx="2">
                  <c:v>3846.6766699999998</c:v>
                </c:pt>
                <c:pt idx="3">
                  <c:v>3806.2306199999998</c:v>
                </c:pt>
                <c:pt idx="4">
                  <c:v>3674.5461399999999</c:v>
                </c:pt>
                <c:pt idx="5">
                  <c:v>3344.8912399999999</c:v>
                </c:pt>
                <c:pt idx="6">
                  <c:v>3469.03863</c:v>
                </c:pt>
                <c:pt idx="7">
                  <c:v>3491.1773499999999</c:v>
                </c:pt>
                <c:pt idx="8">
                  <c:v>3402.1132899999998</c:v>
                </c:pt>
                <c:pt idx="9">
                  <c:v>3393.2541999999999</c:v>
                </c:pt>
                <c:pt idx="10">
                  <c:v>3354.0796099999998</c:v>
                </c:pt>
                <c:pt idx="11">
                  <c:v>3652.64</c:v>
                </c:pt>
                <c:pt idx="12">
                  <c:v>3876.2303700000002</c:v>
                </c:pt>
                <c:pt idx="13">
                  <c:v>3782.81666</c:v>
                </c:pt>
                <c:pt idx="14">
                  <c:v>3178.5982199999999</c:v>
                </c:pt>
              </c:numCache>
            </c:numRef>
          </c:val>
          <c:smooth val="0"/>
          <c:extLst>
            <c:ext xmlns:c16="http://schemas.microsoft.com/office/drawing/2014/chart" uri="{C3380CC4-5D6E-409C-BE32-E72D297353CC}">
              <c16:uniqueId val="{00000000-2A5D-4D5A-B5D9-074F2CDC46E8}"/>
            </c:ext>
          </c:extLst>
        </c:ser>
        <c:dLbls>
          <c:showLegendKey val="0"/>
          <c:showVal val="0"/>
          <c:showCatName val="0"/>
          <c:showSerName val="0"/>
          <c:showPercent val="0"/>
          <c:showBubbleSize val="0"/>
        </c:dLbls>
        <c:smooth val="0"/>
        <c:axId val="1388859472"/>
        <c:axId val="1388855664"/>
      </c:lineChart>
      <c:catAx>
        <c:axId val="1388859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5664"/>
        <c:crosses val="autoZero"/>
        <c:auto val="1"/>
        <c:lblAlgn val="ctr"/>
        <c:lblOffset val="100"/>
        <c:noMultiLvlLbl val="0"/>
      </c:catAx>
      <c:valAx>
        <c:axId val="1388855664"/>
        <c:scaling>
          <c:orientation val="minMax"/>
          <c:min val="30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8859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5A1DE5-1F4F-4CF9-9D5E-D8E0ADCB9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36</Pages>
  <Words>3214</Words>
  <Characters>18324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Sonthalia</dc:creator>
  <cp:keywords/>
  <dc:description/>
  <cp:lastModifiedBy>Tushar Sonthalia</cp:lastModifiedBy>
  <cp:revision>11</cp:revision>
  <dcterms:created xsi:type="dcterms:W3CDTF">2020-06-06T04:44:00Z</dcterms:created>
  <dcterms:modified xsi:type="dcterms:W3CDTF">2020-06-06T06:50:00Z</dcterms:modified>
</cp:coreProperties>
</file>