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MASTER PROMPT — HHG RAG COMPLETE OPTIMIZATION AND REPAIR</w:t>
      </w:r>
    </w:p>
    <w:p>
      <w:pPr>
        <w:pStyle w:val="Heading2"/>
        <w:pStyle w:val="MdHeading2"/>
      </w:pPr>
      <w:r>
        <w:t xml:space="preserve">How to use this prompt</w:t>
      </w:r>
    </w:p>
    <w:p>
      <w:pPr>
        <w:pStyle w:val="MdParagraph"/>
      </w:pPr>
      <w:r>
        <w:t xml:space="preserve">Copy everything below into the coding agent that has access to the GitHub repository. The agent must work on a new branch, preserve the original state, and follow the phases in order. It must not skip validation gates, rewrite the entire project blindly, or claim that latency improved without fresh measurements.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Role and objective</w:t>
      </w:r>
    </w:p>
    <w:p>
      <w:pPr>
        <w:pStyle w:val="MdParagraph"/>
      </w:pPr>
      <w:r>
        <w:t xml:space="preserve">You are a senior Python/FastAPI/RAG performance engineer. Repair and optimize the HHG RAG project in: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https://github.com/tusharvaskarsharma/hhg-task-2-test.git</w:t>
      </w:r>
    </w:p>
    <w:p>
      <w:pPr>
        <w:pStyle w:val="MdSpace"/>
        <w:spacing w:before="0" w:after="60"/>
      </w:pPr>
    </w:p>
    <w:p>
      <w:pPr>
        <w:pStyle w:val="MdParagraph"/>
      </w:pPr>
      <w:r>
        <w:t xml:space="preserve">Use this reference repository only for architecture comparison: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https://github.com/siddharth-09/hhgoa-task2.git</w:t>
      </w:r>
    </w:p>
    <w:p>
      <w:pPr>
        <w:pStyle w:val="MdSpace"/>
        <w:spacing w:before="0" w:after="60"/>
      </w:pPr>
    </w:p>
    <w:p>
      <w:pPr>
        <w:pStyle w:val="MdParagraph"/>
      </w:pPr>
      <w:r>
        <w:t xml:space="preserve">The objective is to make the user project </w:t>
      </w:r>
      <w:r>
        <w:rPr>
          <w:rStyle w:val="MdStrong"/>
          <w:b/>
          <w:bCs/>
        </w:rPr>
        <w:t xml:space="preserve">correct, reproducible, multilingual, production-runnable, and low-latency</w:t>
      </w:r>
      <w:r>
        <w:t xml:space="preserve"> for Hindi, Bengali, and English, while preserving retrieval quality.</w:t>
      </w:r>
    </w:p>
    <w:p>
      <w:pPr>
        <w:pStyle w:val="MdSpace"/>
        <w:spacing w:before="0" w:after="60"/>
      </w:pPr>
    </w:p>
    <w:p>
      <w:pPr>
        <w:pStyle w:val="MdParagraph"/>
      </w:pPr>
      <w:r>
        <w:t xml:space="preserve">The current measured baseline from </w:t>
      </w:r>
      <w:r>
        <w:rPr>
          <w:rStyle w:val="MdCode"/>
          <w:u w:val="single"/>
        </w:rPr>
        <w:t xml:space="preserve">benchmark_results.md</w:t>
      </w:r>
      <w:r>
        <w:t xml:space="preserve"> 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Tier</w:t>
            </w:r>
          </w:p>
        </w:tc>
        <w:tc>
          <w:tcPr>
            <w:tcMar>
              <w:top w:type="dxa" w:w="100"/>
              <w:left w:type="dxa" w:w="120"/>
              <w:bottom w:type="dxa" w:w="100"/>
              <w:right w:type="dxa" w:w="120"/>
            </w:tcMar>
            <w:vAlign w:val="center"/>
          </w:tcPr>
          <w:p>
            <w:pPr>
              <w:pStyle w:val="MdTableHeader"/>
              <w:jc w:val="right"/>
            </w:pPr>
            <w:r>
              <w:t xml:space="preserve">P50</w:t>
            </w:r>
          </w:p>
        </w:tc>
        <w:tc>
          <w:tcPr>
            <w:tcMar>
              <w:top w:type="dxa" w:w="100"/>
              <w:left w:type="dxa" w:w="120"/>
              <w:bottom w:type="dxa" w:w="100"/>
              <w:right w:type="dxa" w:w="120"/>
            </w:tcMar>
            <w:vAlign w:val="center"/>
          </w:tcPr>
          <w:p>
            <w:pPr>
              <w:pStyle w:val="MdTableHeader"/>
              <w:jc w:val="right"/>
            </w:pPr>
            <w:r>
              <w:t xml:space="preserve">P95</w:t>
            </w:r>
          </w:p>
        </w:tc>
        <w:tc>
          <w:tcPr>
            <w:tcMar>
              <w:top w:type="dxa" w:w="100"/>
              <w:left w:type="dxa" w:w="120"/>
              <w:bottom w:type="dxa" w:w="100"/>
              <w:right w:type="dxa" w:w="120"/>
            </w:tcMar>
            <w:vAlign w:val="center"/>
          </w:tcPr>
          <w:p>
            <w:pPr>
              <w:pStyle w:val="MdTableHeader"/>
              <w:jc w:val="right"/>
            </w:pPr>
            <w:r>
              <w:t xml:space="preserve">P99</w:t>
            </w:r>
          </w:p>
        </w:tc>
        <w:tc>
          <w:tcPr>
            <w:tcBorders>
              <w:right w:val="none"/>
            </w:tcBorders>
            <w:tcMar>
              <w:top w:type="dxa" w:w="100"/>
              <w:left w:type="dxa" w:w="120"/>
              <w:bottom w:type="dxa" w:w="100"/>
              <w:right w:type="dxa" w:w="120"/>
            </w:tcMar>
            <w:vAlign w:val="center"/>
          </w:tcPr>
          <w:p>
            <w:pPr>
              <w:pStyle w:val="MdTableHeader"/>
              <w:jc w:val="right"/>
            </w:pPr>
            <w:r>
              <w:t xml:space="preserve">Maximum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RAG_ONLY</w:t>
            </w:r>
          </w:p>
        </w:tc>
        <w:tc>
          <w:tcPr>
            <w:tcMar>
              <w:top w:type="dxa" w:w="80"/>
              <w:left w:type="dxa" w:w="120"/>
              <w:bottom w:type="dxa" w:w="80"/>
              <w:right w:type="dxa" w:w="120"/>
            </w:tcMar>
            <w:vAlign w:val="center"/>
          </w:tcPr>
          <w:p>
            <w:pPr>
              <w:pStyle w:val="MdTableCell"/>
              <w:jc w:val="right"/>
            </w:pPr>
            <w:r>
              <w:t xml:space="preserve">18.65 ms</w:t>
            </w:r>
          </w:p>
        </w:tc>
        <w:tc>
          <w:tcPr>
            <w:tcMar>
              <w:top w:type="dxa" w:w="80"/>
              <w:left w:type="dxa" w:w="120"/>
              <w:bottom w:type="dxa" w:w="80"/>
              <w:right w:type="dxa" w:w="120"/>
            </w:tcMar>
            <w:vAlign w:val="center"/>
          </w:tcPr>
          <w:p>
            <w:pPr>
              <w:pStyle w:val="MdTableCell"/>
              <w:jc w:val="right"/>
            </w:pPr>
            <w:r>
              <w:t xml:space="preserve">25.10 ms</w:t>
            </w:r>
          </w:p>
        </w:tc>
        <w:tc>
          <w:tcPr>
            <w:tcMar>
              <w:top w:type="dxa" w:w="80"/>
              <w:left w:type="dxa" w:w="120"/>
              <w:bottom w:type="dxa" w:w="80"/>
              <w:right w:type="dxa" w:w="120"/>
            </w:tcMar>
            <w:vAlign w:val="center"/>
          </w:tcPr>
          <w:p>
            <w:pPr>
              <w:pStyle w:val="MdTableCell"/>
              <w:jc w:val="right"/>
            </w:pPr>
            <w:r>
              <w:t xml:space="preserve">34.44 ms</w:t>
            </w:r>
          </w:p>
        </w:tc>
        <w:tc>
          <w:tcPr>
            <w:tcBorders>
              <w:right w:val="none"/>
            </w:tcBorders>
            <w:tcMar>
              <w:top w:type="dxa" w:w="80"/>
              <w:left w:type="dxa" w:w="120"/>
              <w:bottom w:type="dxa" w:w="80"/>
              <w:right w:type="dxa" w:w="120"/>
            </w:tcMar>
            <w:vAlign w:val="center"/>
          </w:tcPr>
          <w:p>
            <w:pPr>
              <w:pStyle w:val="MdTableCell"/>
              <w:jc w:val="right"/>
            </w:pPr>
            <w:r>
              <w:t xml:space="preserve">46.74 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PARTIAL</w:t>
            </w:r>
          </w:p>
        </w:tc>
        <w:tc>
          <w:tcPr>
            <w:tcMar>
              <w:top w:type="dxa" w:w="80"/>
              <w:left w:type="dxa" w:w="120"/>
              <w:bottom w:type="dxa" w:w="80"/>
              <w:right w:type="dxa" w:w="120"/>
            </w:tcMar>
            <w:vAlign w:val="center"/>
          </w:tcPr>
          <w:p>
            <w:pPr>
              <w:pStyle w:val="MdTableCell"/>
              <w:jc w:val="right"/>
            </w:pPr>
            <w:r>
              <w:t xml:space="preserve">254.04 ms</w:t>
            </w:r>
          </w:p>
        </w:tc>
        <w:tc>
          <w:tcPr>
            <w:tcMar>
              <w:top w:type="dxa" w:w="80"/>
              <w:left w:type="dxa" w:w="120"/>
              <w:bottom w:type="dxa" w:w="80"/>
              <w:right w:type="dxa" w:w="120"/>
            </w:tcMar>
            <w:vAlign w:val="center"/>
          </w:tcPr>
          <w:p>
            <w:pPr>
              <w:pStyle w:val="MdTableCell"/>
              <w:jc w:val="right"/>
            </w:pPr>
            <w:r>
              <w:t xml:space="preserve">725.12 ms</w:t>
            </w:r>
          </w:p>
        </w:tc>
        <w:tc>
          <w:tcPr>
            <w:tcMar>
              <w:top w:type="dxa" w:w="80"/>
              <w:left w:type="dxa" w:w="120"/>
              <w:bottom w:type="dxa" w:w="80"/>
              <w:right w:type="dxa" w:w="120"/>
            </w:tcMar>
            <w:vAlign w:val="center"/>
          </w:tcPr>
          <w:p>
            <w:pPr>
              <w:pStyle w:val="MdTableCell"/>
              <w:jc w:val="right"/>
            </w:pPr>
            <w:r>
              <w:t xml:space="preserve">2,904.22 ms</w:t>
            </w:r>
          </w:p>
        </w:tc>
        <w:tc>
          <w:tcPr>
            <w:tcBorders>
              <w:right w:val="none"/>
            </w:tcBorders>
            <w:tcMar>
              <w:top w:type="dxa" w:w="80"/>
              <w:left w:type="dxa" w:w="120"/>
              <w:bottom w:type="dxa" w:w="80"/>
              <w:right w:type="dxa" w:w="120"/>
            </w:tcMar>
            <w:vAlign w:val="center"/>
          </w:tcPr>
          <w:p>
            <w:pPr>
              <w:pStyle w:val="MdTableCell"/>
              <w:jc w:val="right"/>
            </w:pPr>
            <w:r>
              <w:t xml:space="preserve">3,292.11 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TOTAL</w:t>
            </w:r>
          </w:p>
        </w:tc>
        <w:tc>
          <w:tcPr>
            <w:tcBorders>
              <w:bottom w:val="single" w:color="E1E4E8" w:sz="4"/>
            </w:tcBorders>
            <w:tcMar>
              <w:top w:type="dxa" w:w="80"/>
              <w:left w:type="dxa" w:w="120"/>
              <w:bottom w:type="dxa" w:w="80"/>
              <w:right w:type="dxa" w:w="120"/>
            </w:tcMar>
            <w:vAlign w:val="center"/>
          </w:tcPr>
          <w:p>
            <w:pPr>
              <w:pStyle w:val="MdTableCell"/>
              <w:jc w:val="right"/>
            </w:pPr>
            <w:r>
              <w:t xml:space="preserve">1,833.20 ms</w:t>
            </w:r>
          </w:p>
        </w:tc>
        <w:tc>
          <w:tcPr>
            <w:tcBorders>
              <w:bottom w:val="single" w:color="E1E4E8" w:sz="4"/>
            </w:tcBorders>
            <w:tcMar>
              <w:top w:type="dxa" w:w="80"/>
              <w:left w:type="dxa" w:w="120"/>
              <w:bottom w:type="dxa" w:w="80"/>
              <w:right w:type="dxa" w:w="120"/>
            </w:tcMar>
            <w:vAlign w:val="center"/>
          </w:tcPr>
          <w:p>
            <w:pPr>
              <w:pStyle w:val="MdTableCell"/>
              <w:jc w:val="right"/>
            </w:pPr>
            <w:r>
              <w:t xml:space="preserve">3,621.97 ms</w:t>
            </w:r>
          </w:p>
        </w:tc>
        <w:tc>
          <w:tcPr>
            <w:tcBorders>
              <w:bottom w:val="single" w:color="E1E4E8" w:sz="4"/>
            </w:tcBorders>
            <w:tcMar>
              <w:top w:type="dxa" w:w="80"/>
              <w:left w:type="dxa" w:w="120"/>
              <w:bottom w:type="dxa" w:w="80"/>
              <w:right w:type="dxa" w:w="120"/>
            </w:tcMar>
            <w:vAlign w:val="center"/>
          </w:tcPr>
          <w:p>
            <w:pPr>
              <w:pStyle w:val="MdTableCell"/>
              <w:jc w:val="right"/>
            </w:pPr>
            <w:r>
              <w:t xml:space="preserve">5,060.52 ms</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5,481.53 ms</w:t>
            </w:r>
          </w:p>
        </w:tc>
      </w:tr>
    </w:tbl>
    <w:p>
      <w:pPr>
        <w:pStyle w:val="MdParagraph"/>
      </w:pPr>
      <w:r>
        <w:t xml:space="preserve">The hard retrieval target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P50 &lt;= 50 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P95 &lt;= 50 ms</w:t>
      </w:r>
    </w:p>
    <w:p>
      <w:pPr>
        <w:pStyle w:val="MdSpace"/>
        <w:spacing w:before="0" w:after="60"/>
      </w:pPr>
    </w:p>
    <w:p>
      <w:pPr>
        <w:pStyle w:val="MdParagraph"/>
      </w:pPr>
      <w:r>
        <w:t xml:space="preserve">Do not redefine the target to hide SLM or STT latency. The correct architecture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 complete grounded extractive answer + citations, without SLM or STT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PARTIAL  = RAG_ONLY path + optional SLM generation, without STT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 STT + RAG_ONLY + optional SLM generation</w:t>
      </w:r>
    </w:p>
    <w:p>
      <w:pPr>
        <w:pStyle w:val="MdSpace"/>
        <w:spacing w:before="0" w:after="60"/>
      </w:pPr>
    </w:p>
    <w:p>
      <w:pPr>
        <w:pStyle w:val="MdParagraph"/>
      </w:pPr>
      <w:r>
        <w:t xml:space="preserve">The friend repository’s useful architectural pattern is not “copy every file.” It is the separation of the fast grounded answer from the slower LLM rewrite: the fast answer is returned first, while LLM polish is explicitly requested later. Reproduce that principle, not unverified implementation details.</w:t>
      </w:r>
    </w:p>
    <w:p>
      <w:pPr>
        <w:pStyle w:val="MdSpace"/>
        <w:spacing w:before="0" w:after="60"/>
      </w:pPr>
    </w:p>
    <w:p>
      <w:pPr>
        <w:pStyle w:val="Heading2"/>
        <w:pStyle w:val="MdHeading2"/>
      </w:pPr>
      <w:r>
        <w:t xml:space="preserve">Non-negotiable engineering rules</w:t>
      </w:r>
    </w:p>
    <w:p>
      <w:pPr>
        <w:pStyle w:val="MdListItem"/>
        <w:numPr>
          <w:ilvl w:val="0"/>
          <w:numId w:val="2"/>
        </w:numPr>
      </w:pPr>
      <w:r>
        <w:t xml:space="preserve">Work on a new branch named </w:t>
      </w:r>
      <w:r>
        <w:rPr>
          <w:rStyle w:val="MdCode"/>
          <w:u w:val="single"/>
        </w:rPr>
        <w:t xml:space="preserve">repair/production-rag-optimization</w:t>
      </w:r>
      <w:r>
        <w:t xml:space="preserve">.</w:t>
      </w:r>
    </w:p>
    <w:p>
      <w:pPr>
        <w:pStyle w:val="MdListItem"/>
        <w:numPr>
          <w:ilvl w:val="0"/>
          <w:numId w:val="2"/>
        </w:numPr>
      </w:pPr>
      <w:r>
        <w:t xml:space="preserve">Before editing, record the current commit SHA, Python version, OS, dependency versions, artifact path, artifact manifest hash, and baseline benchmark output.</w:t>
      </w:r>
    </w:p>
    <w:p>
      <w:pPr>
        <w:pStyle w:val="MdListItem"/>
        <w:numPr>
          <w:ilvl w:val="0"/>
          <w:numId w:val="2"/>
        </w:numPr>
      </w:pPr>
      <w:r>
        <w:t xml:space="preserve">Do not delete or overwrite existing artifacts. Create versioned output directories such as </w:t>
      </w:r>
      <w:r>
        <w:rPr>
          <w:rStyle w:val="MdCode"/>
          <w:u w:val="single"/>
        </w:rPr>
        <w:t xml:space="preserve">artifacts_v2/</w:t>
      </w:r>
      <w:r>
        <w:t xml:space="preserve">.</w:t>
      </w:r>
    </w:p>
    <w:p>
      <w:pPr>
        <w:pStyle w:val="MdListItem"/>
        <w:numPr>
          <w:ilvl w:val="0"/>
          <w:numId w:val="2"/>
        </w:numPr>
      </w:pPr>
      <w:r>
        <w:t xml:space="preserve">Do not change the embedding model, vector dimension, normalization, HNSW metric, tokenizer, or chunk IDs until a baseline accuracy report exists.</w:t>
      </w:r>
    </w:p>
    <w:p>
      <w:pPr>
        <w:pStyle w:val="MdListItem"/>
        <w:numPr>
          <w:ilvl w:val="0"/>
          <w:numId w:val="2"/>
        </w:numPr>
      </w:pPr>
      <w:r>
        <w:t xml:space="preserve">Do not claim that a test passed if it was skipped because artifacts, ONNX, STT, or SLM were unavailable. Report </w:t>
      </w:r>
      <w:r>
        <w:rPr>
          <w:rStyle w:val="MdCode"/>
          <w:u w:val="single"/>
        </w:rPr>
        <w:t xml:space="preserve">NOT RUN</w:t>
      </w:r>
      <w:r>
        <w:t xml:space="preserve"> with the reason.</w:t>
      </w:r>
    </w:p>
    <w:p>
      <w:pPr>
        <w:pStyle w:val="MdListItem"/>
        <w:numPr>
          <w:ilvl w:val="0"/>
          <w:numId w:val="2"/>
        </w:numPr>
      </w:pPr>
      <w:r>
        <w:t xml:space="preserve">Do not use synthetic mocked timing to claim production latency.</w:t>
      </w:r>
    </w:p>
    <w:p>
      <w:pPr>
        <w:pStyle w:val="MdListItem"/>
        <w:numPr>
          <w:ilvl w:val="0"/>
          <w:numId w:val="2"/>
        </w:numPr>
      </w:pPr>
      <w:r>
        <w:t xml:space="preserve">Do not use MIRACL gold IDs against HHG artifacts unless an explicit deterministic ID-mapping file is generated and validated.</w:t>
      </w:r>
    </w:p>
    <w:p>
      <w:pPr>
        <w:pStyle w:val="MdListItem"/>
        <w:numPr>
          <w:ilvl w:val="0"/>
          <w:numId w:val="2"/>
        </w:numPr>
      </w:pPr>
      <w:r>
        <w:t xml:space="preserve">Keep STT and SLM optional so the RAG-only path can run offline.</w:t>
      </w:r>
    </w:p>
    <w:p>
      <w:pPr>
        <w:pStyle w:val="MdListItem"/>
        <w:numPr>
          <w:ilvl w:val="0"/>
          <w:numId w:val="2"/>
        </w:numPr>
      </w:pPr>
      <w:r>
        <w:t xml:space="preserve">Never log API keys, complete upstream response bodies, audio contents, or prompts containing sensitive data.</w:t>
      </w:r>
    </w:p>
    <w:p>
      <w:pPr>
        <w:pStyle w:val="MdListItem"/>
        <w:numPr>
          <w:ilvl w:val="0"/>
          <w:numId w:val="2"/>
        </w:numPr>
      </w:pPr>
      <w:r>
        <w:t xml:space="preserve">Every code change must be accompanied by a focused regression test and a command that reproduces the test.</w:t>
      </w:r>
    </w:p>
    <w:p>
      <w:pPr>
        <w:pStyle w:val="MdListItem"/>
        <w:numPr>
          <w:ilvl w:val="0"/>
          <w:numId w:val="2"/>
        </w:numPr>
      </w:pPr>
      <w:r>
        <w:t xml:space="preserve">If a phase fails, stop at that phase, report the failure, and do not silently continue to deployment.</w:t>
      </w:r>
    </w:p>
    <w:p>
      <w:pPr>
        <w:pStyle w:val="MdListItem"/>
        <w:numPr>
          <w:ilvl w:val="0"/>
          <w:numId w:val="2"/>
        </w:numPr>
      </w:pPr>
      <w:r>
        <w:t xml:space="preserve">At the end, produce a change log, a validation report, a benchmark report, and a rollback procedure.</w:t>
      </w:r>
    </w:p>
    <w:p>
      <w:pPr>
        <w:pStyle w:val="MdSpace"/>
        <w:spacing w:before="0" w:after="60"/>
      </w:pPr>
    </w:p>
    <w:p>
      <w:pPr>
        <w:pStyle w:val="Heading1"/>
        <w:pStyle w:val="MdHeading1"/>
      </w:pPr>
      <w:r>
        <w:t xml:space="preserve">PHASE 0 — Snapshot, branch, and audit baseline</w:t>
      </w:r>
    </w:p>
    <w:p>
      <w:pPr>
        <w:pStyle w:val="Heading2"/>
        <w:pStyle w:val="MdHeading2"/>
      </w:pPr>
      <w:r>
        <w:t xml:space="preserve">Actions</w:t>
      </w:r>
    </w:p>
    <w:p>
      <w:pPr>
        <w:pStyle w:val="MdParagraph"/>
      </w:pPr>
      <w:r>
        <w:t xml:space="preserve">Create the branch and record the baseline: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repair/production-rag-optimization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rev-parse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freeze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reports/dependency_freeze_before.txt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-maxdepth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reports/file_inventory_before.txt</w:t>
      </w:r>
    </w:p>
    <w:p>
      <w:pPr>
        <w:pStyle w:val="MdSpace"/>
        <w:spacing w:before="0" w:after="60"/>
      </w:pPr>
    </w:p>
    <w:p>
      <w:pPr>
        <w:pStyle w:val="MdParagraph"/>
      </w:pPr>
      <w:r>
        <w:t xml:space="preserve">Check whether these artifacts exist before modifying code: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HHG_ARTIFACT_DIR/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config.json or build_manifest.json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hnsw/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bm25/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embedding/onnx/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validation_report.json</w:t>
      </w:r>
    </w:p>
    <w:p>
      <w:pPr>
        <w:pStyle w:val="MdSpace"/>
        <w:spacing w:before="0" w:after="60"/>
      </w:pPr>
    </w:p>
    <w:p>
      <w:pPr>
        <w:pStyle w:val="MdParagraph"/>
      </w:pPr>
      <w:r>
        <w:t xml:space="preserve">If the artifacts are missing, do not fake an online test. Continue with static/unit tests and mark artifact-backed tests </w:t>
      </w:r>
      <w:r>
        <w:rPr>
          <w:rStyle w:val="MdCode"/>
          <w:u w:val="single"/>
        </w:rPr>
        <w:t xml:space="preserve">NOT RUN</w:t>
      </w:r>
      <w:r>
        <w:t xml:space="preserve">.</w:t>
      </w:r>
    </w:p>
    <w:p>
      <w:pPr>
        <w:pStyle w:val="MdSpace"/>
        <w:spacing w:before="0" w:after="60"/>
      </w:pPr>
    </w:p>
    <w:p>
      <w:pPr>
        <w:pStyle w:val="Heading2"/>
        <w:pStyle w:val="MdHeading2"/>
      </w:pPr>
      <w:r>
        <w:t xml:space="preserve">Acceptance gate</w:t>
      </w:r>
    </w:p>
    <w:p>
      <w:pPr>
        <w:pStyle w:val="MdParagraph"/>
      </w:pPr>
      <w:r>
        <w:t xml:space="preserve">Create </w:t>
      </w:r>
      <w:r>
        <w:rPr>
          <w:rStyle w:val="MdCode"/>
          <w:u w:val="single"/>
        </w:rPr>
        <w:t xml:space="preserve">reports/baseline_environment.json</w:t>
      </w:r>
      <w:r>
        <w:t xml:space="preserve"> with: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"platform"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"artifact_root"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"artifact_manifest_sha256"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 missing"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"baseline_rag_only_p50_ms"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18.65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"baseline_rag_only_p95_ms"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"baseline_partial_p50_ms"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254.04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"baseline_partial_p95_ms"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725.12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"baseline_total_p50_ms"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1833.20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"baseline_total_p95_ms"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3621.97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1"/>
        <w:pStyle w:val="MdHeading1"/>
      </w:pPr>
      <w:r>
        <w:t xml:space="preserve">PHASE 1 — Fix import and startup correctness</w:t>
      </w:r>
    </w:p>
    <w:p>
      <w:pPr>
        <w:pStyle w:val="MdParagraph"/>
      </w:pPr>
      <w:r>
        <w:t xml:space="preserve">Fix these exact locations first. Do not optimize performance before these pass.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File</w:t>
            </w:r>
          </w:p>
        </w:tc>
        <w:tc>
          <w:tcPr>
            <w:tcMar>
              <w:top w:type="dxa" w:w="100"/>
              <w:left w:type="dxa" w:w="120"/>
              <w:bottom w:type="dxa" w:w="100"/>
              <w:right w:type="dxa" w:w="120"/>
            </w:tcMar>
            <w:vAlign w:val="center"/>
          </w:tcPr>
          <w:p>
            <w:pPr>
              <w:pStyle w:val="MdTableHeader"/>
            </w:pPr>
            <w:r>
              <w:t xml:space="preserve">Exact problem</w:t>
            </w:r>
          </w:p>
        </w:tc>
        <w:tc>
          <w:tcPr>
            <w:tcBorders>
              <w:right w:val="none"/>
            </w:tcBorders>
            <w:tcMar>
              <w:top w:type="dxa" w:w="100"/>
              <w:left w:type="dxa" w:w="120"/>
              <w:bottom w:type="dxa" w:w="100"/>
              <w:right w:type="dxa" w:w="120"/>
            </w:tcMar>
            <w:vAlign w:val="center"/>
          </w:tcPr>
          <w:p>
            <w:pPr>
              <w:pStyle w:val="MdTableHeader"/>
            </w:pPr>
            <w:r>
              <w:t xml:space="preserve">Required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backend/main.py:2-10,32,49</w:t>
            </w:r>
          </w:p>
        </w:tc>
        <w:tc>
          <w:tcPr>
            <w:tcMar>
              <w:top w:type="dxa" w:w="80"/>
              <w:left w:type="dxa" w:w="120"/>
              <w:bottom w:type="dxa" w:w="80"/>
              <w:right w:type="dxa" w:w="120"/>
            </w:tcMar>
            <w:vAlign w:val="center"/>
          </w:tcPr>
          <w:p>
            <w:pPr>
              <w:pStyle w:val="MdTableCell"/>
            </w:pPr>
            <w:r>
              <w:rPr>
                <w:rStyle w:val="MdCode"/>
                <w:u w:val="single"/>
              </w:rPr>
              <w:t xml:space="preserve">FastAPI</w:t>
            </w:r>
            <w:r>
              <w:t xml:space="preserve"> and </w:t>
            </w:r>
            <w:r>
              <w:rPr>
                <w:rStyle w:val="MdCode"/>
                <w:u w:val="single"/>
              </w:rPr>
              <w:t xml:space="preserve">Request</w:t>
            </w:r>
            <w:r>
              <w:t xml:space="preserve"> are used but not imported</w:t>
            </w:r>
          </w:p>
        </w:tc>
        <w:tc>
          <w:tcPr>
            <w:tcBorders>
              <w:right w:val="none"/>
            </w:tcBorders>
            <w:tcMar>
              <w:top w:type="dxa" w:w="80"/>
              <w:left w:type="dxa" w:w="120"/>
              <w:bottom w:type="dxa" w:w="80"/>
              <w:right w:type="dxa" w:w="120"/>
            </w:tcMar>
            <w:vAlign w:val="center"/>
          </w:tcPr>
          <w:p>
            <w:pPr>
              <w:pStyle w:val="MdTableCell"/>
            </w:pPr>
            <w:r>
              <w:t xml:space="preserve">Import </w:t>
            </w:r>
            <w:r>
              <w:rPr>
                <w:rStyle w:val="MdCode"/>
                <w:u w:val="single"/>
              </w:rPr>
              <w:t xml:space="preserve">FastAPI</w:t>
            </w:r>
            <w:r>
              <w:t xml:space="preserve"> and </w:t>
            </w:r>
            <w:r>
              <w:rPr>
                <w:rStyle w:val="MdCode"/>
                <w:u w:val="single"/>
              </w:rPr>
              <w:t xml:space="preserve">Request</w:t>
            </w:r>
            <w:r>
              <w:t xml:space="preserve"> from FastAPI; retain existing middleware imports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backend/routes/query.py:2-9,22</w:t>
            </w:r>
          </w:p>
        </w:tc>
        <w:tc>
          <w:tcPr>
            <w:tcMar>
              <w:top w:type="dxa" w:w="80"/>
              <w:left w:type="dxa" w:w="120"/>
              <w:bottom w:type="dxa" w:w="80"/>
              <w:right w:type="dxa" w:w="120"/>
            </w:tcMar>
            <w:vAlign w:val="center"/>
          </w:tcPr>
          <w:p>
            <w:pPr>
              <w:pStyle w:val="MdTableCell"/>
            </w:pPr>
            <w:r>
              <w:rPr>
                <w:rStyle w:val="MdCode"/>
                <w:u w:val="single"/>
              </w:rPr>
              <w:t xml:space="preserve">uuid.uuid4()</w:t>
            </w:r>
            <w:r>
              <w:t xml:space="preserve"> is used without </w:t>
            </w:r>
            <w:r>
              <w:rPr>
                <w:rStyle w:val="MdCode"/>
                <w:u w:val="single"/>
              </w:rPr>
              <w:t xml:space="preserve">uuid</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uuid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backend/routes/voice.py:2-9,28</w:t>
            </w:r>
          </w:p>
        </w:tc>
        <w:tc>
          <w:tcPr>
            <w:tcMar>
              <w:top w:type="dxa" w:w="80"/>
              <w:left w:type="dxa" w:w="120"/>
              <w:bottom w:type="dxa" w:w="80"/>
              <w:right w:type="dxa" w:w="120"/>
            </w:tcMar>
            <w:vAlign w:val="center"/>
          </w:tcPr>
          <w:p>
            <w:pPr>
              <w:pStyle w:val="MdTableCell"/>
            </w:pPr>
            <w:r>
              <w:rPr>
                <w:rStyle w:val="MdCode"/>
                <w:u w:val="single"/>
              </w:rPr>
              <w:t xml:space="preserve">uuid.uuid4()</w:t>
            </w:r>
            <w:r>
              <w:t xml:space="preserve"> is used without </w:t>
            </w:r>
            <w:r>
              <w:rPr>
                <w:rStyle w:val="MdCode"/>
                <w:u w:val="single"/>
              </w:rPr>
              <w:t xml:space="preserve">uuid</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uuid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backend/pipeline/retrieval_service.py:2-14,49</w:t>
            </w:r>
          </w:p>
        </w:tc>
        <w:tc>
          <w:tcPr>
            <w:tcMar>
              <w:top w:type="dxa" w:w="80"/>
              <w:left w:type="dxa" w:w="120"/>
              <w:bottom w:type="dxa" w:w="80"/>
              <w:right w:type="dxa" w:w="120"/>
            </w:tcMar>
            <w:vAlign w:val="center"/>
          </w:tcPr>
          <w:p>
            <w:pPr>
              <w:pStyle w:val="MdTableCell"/>
            </w:pPr>
            <w:r>
              <w:rPr>
                <w:rStyle w:val="MdCode"/>
                <w:u w:val="single"/>
              </w:rPr>
              <w:t xml:space="preserve">time.perf_counter()</w:t>
            </w:r>
            <w:r>
              <w:t xml:space="preserve"> is used without </w:t>
            </w:r>
            <w:r>
              <w:rPr>
                <w:rStyle w:val="MdCode"/>
                <w:u w:val="single"/>
              </w:rPr>
              <w:t xml:space="preserve">time</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time</w:t>
            </w:r>
            <w:r>
              <w:t xml:space="preserve">; remove duplicate pandas import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backend/pipeline/generator.py:2-10,126,150,162</w:t>
            </w:r>
          </w:p>
        </w:tc>
        <w:tc>
          <w:tcPr>
            <w:tcMar>
              <w:top w:type="dxa" w:w="80"/>
              <w:left w:type="dxa" w:w="120"/>
              <w:bottom w:type="dxa" w:w="80"/>
              <w:right w:type="dxa" w:w="120"/>
            </w:tcMar>
            <w:vAlign w:val="center"/>
          </w:tcPr>
          <w:p>
            <w:pPr>
              <w:pStyle w:val="MdTableCell"/>
            </w:pPr>
            <w:r>
              <w:rPr>
                <w:rStyle w:val="MdCode"/>
                <w:u w:val="single"/>
              </w:rPr>
              <w:t xml:space="preserve">time.perf_counter()</w:t>
            </w:r>
            <w:r>
              <w:t xml:space="preserve"> is used without </w:t>
            </w:r>
            <w:r>
              <w:rPr>
                <w:rStyle w:val="MdCode"/>
                <w:u w:val="single"/>
              </w:rPr>
              <w:t xml:space="preserve">time</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backend/pipeline/embedder.py:25,46-68</w:t>
            </w:r>
          </w:p>
        </w:tc>
        <w:tc>
          <w:tcPr>
            <w:tcMar>
              <w:top w:type="dxa" w:w="80"/>
              <w:left w:type="dxa" w:w="120"/>
              <w:bottom w:type="dxa" w:w="80"/>
              <w:right w:type="dxa" w:w="120"/>
            </w:tcMar>
            <w:vAlign w:val="center"/>
          </w:tcPr>
          <w:p>
            <w:pPr>
              <w:pStyle w:val="MdTableCell"/>
            </w:pPr>
            <w:r>
              <w:rPr>
                <w:rStyle w:val="MdCode"/>
                <w:u w:val="single"/>
              </w:rPr>
              <w:t xml:space="preserve">np</w:t>
            </w:r>
            <w:r>
              <w:t xml:space="preserve"> is used in annotation and implementation without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numpy as np</w:t>
            </w:r>
            <w:r>
              <w:t xml:space="preserve">; add </w:t>
            </w:r>
            <w:r>
              <w:rPr>
                <w:rStyle w:val="MdCode"/>
                <w:u w:val="single"/>
              </w:rPr>
              <w:t xml:space="preserve">from __future__ import annotations</w:t>
            </w:r>
            <w:r>
              <w:t xml:space="preserve"> only if appropriate, but keep the real NumPy import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backend/pipeline/slm_client.py:23-35,73-80</w:t>
            </w:r>
          </w:p>
        </w:tc>
        <w:tc>
          <w:tcPr>
            <w:tcMar>
              <w:top w:type="dxa" w:w="80"/>
              <w:left w:type="dxa" w:w="120"/>
              <w:bottom w:type="dxa" w:w="80"/>
              <w:right w:type="dxa" w:w="120"/>
            </w:tcMar>
            <w:vAlign w:val="center"/>
          </w:tcPr>
          <w:p>
            <w:pPr>
              <w:pStyle w:val="MdTableCell"/>
            </w:pPr>
            <w:r>
              <w:rPr>
                <w:rStyle w:val="MdCode"/>
                <w:u w:val="single"/>
              </w:rPr>
              <w:t xml:space="preserve">requests.Session</w:t>
            </w:r>
            <w:r>
              <w:t xml:space="preserve"> and </w:t>
            </w:r>
            <w:r>
              <w:rPr>
                <w:rStyle w:val="MdCode"/>
                <w:u w:val="single"/>
              </w:rPr>
              <w:t xml:space="preserve">requests.exceptions</w:t>
            </w:r>
            <w:r>
              <w:t xml:space="preserve"> are used without </w:t>
            </w:r>
            <w:r>
              <w:rPr>
                <w:rStyle w:val="MdCode"/>
                <w:u w:val="single"/>
              </w:rPr>
              <w:t xml:space="preserve">requests</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requests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backend/pipeline/stt.py:8</w:t>
            </w:r>
          </w:p>
        </w:tc>
        <w:tc>
          <w:tcPr>
            <w:tcMar>
              <w:top w:type="dxa" w:w="80"/>
              <w:left w:type="dxa" w:w="120"/>
              <w:bottom w:type="dxa" w:w="80"/>
              <w:right w:type="dxa" w:w="120"/>
            </w:tcMar>
            <w:vAlign w:val="center"/>
          </w:tcPr>
          <w:p>
            <w:pPr>
              <w:pStyle w:val="MdTableCell"/>
            </w:pPr>
            <w:r>
              <w:rPr>
                <w:rStyle w:val="MdCode"/>
                <w:u w:val="single"/>
              </w:rPr>
              <w:t xml:space="preserve">logging.getLogger()</w:t>
            </w:r>
            <w:r>
              <w:t xml:space="preserve"> is used without </w:t>
            </w:r>
            <w:r>
              <w:rPr>
                <w:rStyle w:val="MdCode"/>
                <w:u w:val="single"/>
              </w:rPr>
              <w:t xml:space="preserve">logging</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logging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backend/pipeline/tokenizer.py:8</w:t>
            </w:r>
          </w:p>
        </w:tc>
        <w:tc>
          <w:tcPr>
            <w:tcMar>
              <w:top w:type="dxa" w:w="80"/>
              <w:left w:type="dxa" w:w="120"/>
              <w:bottom w:type="dxa" w:w="80"/>
              <w:right w:type="dxa" w:w="120"/>
            </w:tcMar>
            <w:vAlign w:val="center"/>
          </w:tcPr>
          <w:p>
            <w:pPr>
              <w:pStyle w:val="MdTableCell"/>
            </w:pPr>
            <w:r>
              <w:rPr>
                <w:rStyle w:val="MdCode"/>
                <w:u w:val="single"/>
              </w:rPr>
              <w:t xml:space="preserve">re.sub()</w:t>
            </w:r>
            <w:r>
              <w:t xml:space="preserve"> is used without </w:t>
            </w:r>
            <w:r>
              <w:rPr>
                <w:rStyle w:val="MdCode"/>
                <w:u w:val="single"/>
              </w:rPr>
              <w:t xml:space="preserve">re</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backend/scripts/validate_artifacts.py:5</w:t>
            </w:r>
          </w:p>
        </w:tc>
        <w:tc>
          <w:tcPr>
            <w:tcMar>
              <w:top w:type="dxa" w:w="80"/>
              <w:left w:type="dxa" w:w="120"/>
              <w:bottom w:type="dxa" w:w="80"/>
              <w:right w:type="dxa" w:w="120"/>
            </w:tcMar>
            <w:vAlign w:val="center"/>
          </w:tcPr>
          <w:p>
            <w:pPr>
              <w:pStyle w:val="MdTableCell"/>
            </w:pPr>
            <w:r>
              <w:rPr>
                <w:rStyle w:val="MdCode"/>
                <w:u w:val="single"/>
              </w:rPr>
              <w:t xml:space="preserve">os.path</w:t>
            </w:r>
            <w:r>
              <w:t xml:space="preserve"> is used without </w:t>
            </w:r>
            <w:r>
              <w:rPr>
                <w:rStyle w:val="MdCode"/>
                <w:u w:val="single"/>
              </w:rPr>
              <w:t xml:space="preserve">os</w:t>
            </w:r>
            <w:r>
              <w:t xml:space="preserve"> import</w:t>
            </w:r>
          </w:p>
        </w:tc>
        <w:tc>
          <w:tcPr>
            <w:tcBorders>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os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backend/scripts/run_accuracy_benchmark.py:13</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os.path</w:t>
            </w:r>
            <w:r>
              <w:t xml:space="preserve"> is used without </w:t>
            </w:r>
            <w:r>
              <w:rPr>
                <w:rStyle w:val="MdCode"/>
                <w:u w:val="single"/>
              </w:rPr>
              <w:t xml:space="preserve">os</w:t>
            </w:r>
            <w:r>
              <w:t xml:space="preserve"> import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 </w:t>
            </w:r>
            <w:r>
              <w:rPr>
                <w:rStyle w:val="MdCode"/>
                <w:u w:val="single"/>
              </w:rPr>
              <w:t xml:space="preserve">import os</w:t>
            </w:r>
          </w:p>
        </w:tc>
      </w:tr>
    </w:tbl>
    <w:p>
      <w:pPr>
        <w:pStyle w:val="Heading2"/>
        <w:pStyle w:val="MdHeading2"/>
      </w:pPr>
      <w:r>
        <w:t xml:space="preserve">Required checks</w:t>
      </w:r>
    </w:p>
    <w:p>
      <w:pPr>
        <w:pStyle w:val="MdParagraph"/>
      </w:pPr>
      <w:r>
        <w:t xml:space="preserve">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compileall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phase_a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 backend.main"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"from backend.pipeline.embedder import Embedder"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"from backend.pipeline.generator import generator_service"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"from backend.pipeline.stt import stt_service"</w:t>
      </w:r>
    </w:p>
    <w:p>
      <w:pPr>
        <w:pStyle w:val="MdSpace"/>
        <w:spacing w:before="0" w:after="60"/>
      </w:pPr>
    </w:p>
    <w:p>
      <w:pPr>
        <w:pStyle w:val="MdParagraph"/>
      </w:pPr>
      <w:r>
        <w:t xml:space="preserve">If an import requires an optional dependency, the module must fail with a clear, actionable message or use a lazy import. Do not hide real failures with a blanket </w:t>
      </w:r>
      <w:r>
        <w:rPr>
          <w:rStyle w:val="MdCode"/>
          <w:u w:val="single"/>
        </w:rPr>
        <w:t xml:space="preserve">except Exception</w:t>
      </w:r>
      <w:r>
        <w:t xml:space="preserve">.</w:t>
      </w:r>
    </w:p>
    <w:p>
      <w:pPr>
        <w:pStyle w:val="MdSpace"/>
        <w:spacing w:before="0" w:after="60"/>
      </w:pPr>
    </w:p>
    <w:p>
      <w:pPr>
        <w:pStyle w:val="Heading2"/>
        <w:pStyle w:val="MdHeading2"/>
      </w:pPr>
      <w:r>
        <w:t xml:space="preserve">Acceptance gate</w:t>
      </w:r>
    </w:p>
    <w:p>
      <w:pPr>
        <w:pStyle w:val="MdParagraph"/>
      </w:pPr>
      <w:r>
        <w:t xml:space="preserve">All imports must either pass or be reported as </w:t>
      </w:r>
      <w:r>
        <w:rPr>
          <w:rStyle w:val="MdCode"/>
          <w:u w:val="single"/>
        </w:rPr>
        <w:t xml:space="preserve">NOT RUN: missing dependency &lt;name&gt;</w:t>
      </w:r>
      <w:r>
        <w:t xml:space="preserve">. No </w:t>
      </w:r>
      <w:r>
        <w:rPr>
          <w:rStyle w:val="MdCode"/>
          <w:u w:val="single"/>
        </w:rPr>
        <w:t xml:space="preserve">NameError</w:t>
      </w:r>
      <w:r>
        <w:t xml:space="preserve"> may remain in import/startup smoke tests.</w:t>
      </w:r>
    </w:p>
    <w:p>
      <w:pPr>
        <w:pStyle w:val="MdSpace"/>
        <w:spacing w:before="0" w:after="60"/>
      </w:pPr>
    </w:p>
    <w:p>
      <w:pPr>
        <w:pStyle w:val="Heading1"/>
        <w:pStyle w:val="MdHeading1"/>
      </w:pPr>
      <w:r>
        <w:t xml:space="preserve">PHASE 2 — Normalize configuration and environment handling</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backend/config.py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backend/.env.example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backend/main.py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run_final_benchmark.py</w:t>
      </w:r>
    </w:p>
    <w:p>
      <w:pPr>
        <w:pStyle w:val="MdSpace"/>
        <w:spacing w:before="0" w:after="60"/>
      </w:pPr>
    </w:p>
    <w:p>
      <w:pPr>
        <w:pStyle w:val="Heading2"/>
        <w:pStyle w:val="MdHeading2"/>
      </w:pPr>
      <w:r>
        <w:t xml:space="preserve">Required changes</w:t>
      </w:r>
    </w:p>
    <w:p>
      <w:pPr>
        <w:pStyle w:val="MdParagraph"/>
      </w:pPr>
      <w:r>
        <w:t xml:space="preserve">Use one consistent prefix for every operator-controlled setting. Prefer: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HHG_ARTIFACT_DIR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HHG_HNSW_EF_SEARCH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HHG_CACHE_ENABLED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HHG_CACHE_MAX_SIZE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HHG_CACHE_TTL_SECONDS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HHG_CACHE_VERSION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HHG_SLM_ENABLED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HHG_SLM_TIMEOUT_SECONDS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HHG_SAARAS_ENABLED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HHG_SAARAS_TIMEOUT_SECONDS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HHG_ONNX_INTRA_THREADS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HHG_ONNX_INTER_THREADS</w:t>
      </w:r>
    </w:p>
    <w:p>
      <w:pPr>
        <w:pStyle w:val="MdSpace"/>
        <w:spacing w:before="0" w:after="60"/>
      </w:pPr>
    </w:p>
    <w:p>
      <w:pPr>
        <w:pStyle w:val="MdParagraph"/>
      </w:pPr>
      <w:r>
        <w:t xml:space="preserve">Do not let </w:t>
      </w:r>
      <w:r>
        <w:rPr>
          <w:rStyle w:val="MdCode"/>
          <w:u w:val="single"/>
        </w:rPr>
        <w:t xml:space="preserve">run_final_benchmark.py</w:t>
      </w:r>
      <w:r>
        <w:t xml:space="preserve"> rewrite </w:t>
      </w:r>
      <w:r>
        <w:rPr>
          <w:rStyle w:val="MdCode"/>
          <w:u w:val="single"/>
        </w:rPr>
        <w:t xml:space="preserve">.env</w:t>
      </w:r>
      <w:r>
        <w:t xml:space="preserve"> in place. Instead, construct a child-process environment: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os.environ.copy()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"HHG_SLM_ENABLED"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"HHG_CACHE_ENABLED"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subprocess.Popen(command,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env)</w:t>
      </w:r>
    </w:p>
    <w:p>
      <w:pPr>
        <w:pStyle w:val="MdSpace"/>
        <w:spacing w:before="0" w:after="60"/>
      </w:pPr>
    </w:p>
    <w:p>
      <w:pPr>
        <w:pStyle w:val="MdParagraph"/>
      </w:pPr>
      <w:r>
        <w:t xml:space="preserve">Parse booleans robustly. Do not use </w:t>
      </w:r>
      <w:r>
        <w:rPr>
          <w:rStyle w:val="MdCode"/>
          <w:u w:val="single"/>
        </w:rPr>
        <w:t xml:space="preserve">bool("False")</w:t>
      </w:r>
      <w:r>
        <w:t xml:space="preserve">, because it evaluates to </w:t>
      </w:r>
      <w:r>
        <w:rPr>
          <w:rStyle w:val="MdCode"/>
          <w:u w:val="single"/>
        </w:rPr>
        <w:t xml:space="preserve">True</w:t>
      </w:r>
      <w:r>
        <w:t xml:space="preserve">. Centralize parsing in a helper: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parse_bool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default: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default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value.strip().lower()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Acceptance gate</w:t>
      </w:r>
    </w:p>
    <w:p>
      <w:pPr>
        <w:pStyle w:val="MdParagraph"/>
      </w:pPr>
      <w:r>
        <w:t xml:space="preserve">Add tests proving that </w:t>
      </w:r>
      <w:r>
        <w:rPr>
          <w:rStyle w:val="MdCode"/>
          <w:u w:val="single"/>
        </w:rPr>
        <w:t xml:space="preserve">.env.example</w:t>
      </w:r>
      <w:r>
        <w:t xml:space="preserve"> variable names actually change runtime settings. Test </w:t>
      </w:r>
      <w:r>
        <w:rPr>
          <w:rStyle w:val="MdCode"/>
          <w:u w:val="single"/>
        </w:rPr>
        <w:t xml:space="preserve">HHG_CACHE_ENABLED=false</w:t>
      </w:r>
      <w:r>
        <w:t xml:space="preserve">, </w:t>
      </w:r>
      <w:r>
        <w:rPr>
          <w:rStyle w:val="MdCode"/>
          <w:u w:val="single"/>
        </w:rPr>
        <w:t xml:space="preserve">HHG_HNSW_EF_SEARCH=32</w:t>
      </w:r>
      <w:r>
        <w:t xml:space="preserve">, and </w:t>
      </w:r>
      <w:r>
        <w:rPr>
          <w:rStyle w:val="MdCode"/>
          <w:u w:val="single"/>
        </w:rPr>
        <w:t xml:space="preserve">HHG_SLM_ENABLED=false</w:t>
      </w:r>
      <w:r>
        <w:t xml:space="preserve"> in a subprocess or isolated settings object.</w:t>
      </w:r>
    </w:p>
    <w:p>
      <w:pPr>
        <w:pStyle w:val="MdSpace"/>
        <w:spacing w:before="0" w:after="60"/>
      </w:pPr>
    </w:p>
    <w:p>
      <w:pPr>
        <w:pStyle w:val="Heading1"/>
        <w:pStyle w:val="MdHeading1"/>
      </w:pPr>
      <w:r>
        <w:t xml:space="preserve">PHASE 3 — Make artifact loading strict and multilingual-safe</w:t>
      </w:r>
    </w:p>
    <w:p>
      <w:pPr>
        <w:pStyle w:val="Heading2"/>
        <w:pStyle w:val="MdHeading2"/>
      </w:pPr>
      <w:r>
        <w:t xml:space="preserve">Primary file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backend/artifact_loader.py</w:t>
      </w:r>
    </w:p>
    <w:p>
      <w:pPr>
        <w:pStyle w:val="MdSpace"/>
        <w:spacing w:before="0" w:after="60"/>
      </w:pPr>
    </w:p>
    <w:p>
      <w:pPr>
        <w:pStyle w:val="Heading2"/>
        <w:pStyle w:val="MdHeading2"/>
      </w:pPr>
      <w:r>
        <w:t xml:space="preserve">Required artifact contract</w:t>
      </w:r>
    </w:p>
    <w:p>
      <w:pPr>
        <w:pStyle w:val="MdParagraph"/>
      </w:pPr>
      <w:r>
        <w:t xml:space="preserve">Each language must use an explicit directory: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HHG_ARTIFACT_DIR/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model.onnx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tokenizer.json or pinned tokenizer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manifest.json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metadata/metadata.parquet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hnsw/index.bin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bm25/...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manifest.json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metadata/metadata.parquet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hnsw/index.bin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bm25/...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manifest.json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metadata/metadata.parquet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hnsw/index.bin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bm25/...</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validation_report.json</w:t>
      </w:r>
    </w:p>
    <w:p>
      <w:pPr>
        <w:pStyle w:val="MdSpace"/>
        <w:spacing w:before="0" w:after="60"/>
      </w:pPr>
    </w:p>
    <w:p>
      <w:pPr>
        <w:pStyle w:val="MdParagraph"/>
      </w:pPr>
      <w:r>
        <w:t xml:space="preserve">Do not silently fall back from </w:t>
      </w:r>
      <w:r>
        <w:rPr>
          <w:rStyle w:val="MdCode"/>
          <w:u w:val="single"/>
        </w:rPr>
        <w:t xml:space="preserve">artifacts/&lt;lang&gt;</w:t>
      </w:r>
      <w:r>
        <w:t xml:space="preserve"> to a flat root. If a shared flat layout must remain supported, require an explicit manifest field such as: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"layout"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"shared"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Otherwise fail with an actionable error.</w:t>
      </w:r>
    </w:p>
    <w:p>
      <w:pPr>
        <w:pStyle w:val="MdSpace"/>
        <w:spacing w:before="0" w:after="60"/>
      </w:pPr>
    </w:p>
    <w:p>
      <w:pPr>
        <w:pStyle w:val="Heading2"/>
        <w:pStyle w:val="MdHeading2"/>
      </w:pPr>
      <w:r>
        <w:t xml:space="preserve">Required validations before </w:t>
      </w:r>
      <w:r>
        <w:rPr>
          <w:rStyle w:val="MdCode"/>
          <w:u w:val="single"/>
        </w:rPr>
        <w:t xml:space="preserve">status["valid"] = True</w:t>
      </w:r>
    </w:p>
    <w:p>
      <w:pPr>
        <w:pStyle w:val="MdParagraph"/>
      </w:pPr>
      <w:r>
        <w:t xml:space="preserve">For every language:</w:t>
      </w:r>
    </w:p>
    <w:p>
      <w:pPr>
        <w:pStyle w:val="MdSpace"/>
        <w:spacing w:before="0" w:after="60"/>
      </w:pPr>
    </w:p>
    <w:p>
      <w:pPr>
        <w:pStyle w:val="MdListItem"/>
        <w:numPr>
          <w:ilvl w:val="0"/>
          <w:numId w:val="2"/>
        </w:numPr>
      </w:pPr>
      <w:r>
        <w:t xml:space="preserve">Manifest model name equals the loaded model revision.</w:t>
      </w:r>
    </w:p>
    <w:p>
      <w:pPr>
        <w:pStyle w:val="MdListItem"/>
        <w:numPr>
          <w:ilvl w:val="0"/>
          <w:numId w:val="2"/>
        </w:numPr>
      </w:pPr>
      <w:r>
        <w:t xml:space="preserve">Embedding dimension equals 384.</w:t>
      </w:r>
    </w:p>
    <w:p>
      <w:pPr>
        <w:pStyle w:val="MdListItem"/>
        <w:numPr>
          <w:ilvl w:val="0"/>
          <w:numId w:val="2"/>
        </w:numPr>
      </w:pPr>
      <w:r>
        <w:t xml:space="preserve">Normalization and HNSW space agree with the retriever.</w:t>
      </w:r>
    </w:p>
    <w:p>
      <w:pPr>
        <w:pStyle w:val="MdListItem"/>
        <w:numPr>
          <w:ilvl w:val="0"/>
          <w:numId w:val="2"/>
        </w:numPr>
      </w:pPr>
      <w:r>
        <w:t xml:space="preserve">Metadata exists and is non-empty.</w:t>
      </w:r>
    </w:p>
    <w:p>
      <w:pPr>
        <w:pStyle w:val="MdListItem"/>
        <w:numPr>
          <w:ilvl w:val="0"/>
          <w:numId w:val="2"/>
        </w:numPr>
      </w:pPr>
      <w:r>
        <w:t xml:space="preserve">HNSW index exists and </w:t>
      </w:r>
      <w:r>
        <w:rPr>
          <w:rStyle w:val="MdCode"/>
          <w:u w:val="single"/>
        </w:rPr>
        <w:t xml:space="preserve">get_current_count()</w:t>
      </w:r>
      <w:r>
        <w:t xml:space="preserve"> equals metadata row count.</w:t>
      </w:r>
    </w:p>
    <w:p>
      <w:pPr>
        <w:pStyle w:val="MdListItem"/>
        <w:numPr>
          <w:ilvl w:val="0"/>
          <w:numId w:val="2"/>
        </w:numPr>
      </w:pPr>
      <w:r>
        <w:t xml:space="preserve">Metadata IDs are non-null and unique.</w:t>
      </w:r>
    </w:p>
    <w:p>
      <w:pPr>
        <w:pStyle w:val="MdListItem"/>
        <w:numPr>
          <w:ilvl w:val="0"/>
          <w:numId w:val="2"/>
        </w:numPr>
      </w:pPr>
      <w:r>
        <w:t xml:space="preserve">Every HNSW label resolves to exactly one metadata ID.</w:t>
      </w:r>
    </w:p>
    <w:p>
      <w:pPr>
        <w:pStyle w:val="MdListItem"/>
        <w:numPr>
          <w:ilvl w:val="0"/>
          <w:numId w:val="2"/>
        </w:numPr>
      </w:pPr>
      <w:r>
        <w:t xml:space="preserve">Metadata language is either absent only when the manifest explicitly says it is a single-language file, or all rows match the requested language.</w:t>
      </w:r>
    </w:p>
    <w:p>
      <w:pPr>
        <w:pStyle w:val="MdListItem"/>
        <w:numPr>
          <w:ilvl w:val="0"/>
          <w:numId w:val="2"/>
        </w:numPr>
      </w:pPr>
      <w:r>
        <w:t xml:space="preserve">BM25 document count equals metadata count, when the BM25 format exposes a count.</w:t>
      </w:r>
    </w:p>
    <w:p>
      <w:pPr>
        <w:pStyle w:val="MdListItem"/>
        <w:numPr>
          <w:ilvl w:val="0"/>
          <w:numId w:val="2"/>
        </w:numPr>
      </w:pPr>
      <w:r>
        <w:t xml:space="preserve">A deterministic sample of at least 100 labels resolves to the expected text.</w:t>
      </w:r>
    </w:p>
    <w:p>
      <w:pPr>
        <w:pStyle w:val="MdListItem"/>
        <w:numPr>
          <w:ilvl w:val="0"/>
          <w:numId w:val="2"/>
        </w:numPr>
      </w:pPr>
      <w:r>
        <w:t xml:space="preserve">Per-language manifest and artifact checksums match.</w:t>
      </w:r>
    </w:p>
    <w:p>
      <w:pPr>
        <w:pStyle w:val="MdSpace"/>
        <w:spacing w:before="0" w:after="60"/>
      </w:pPr>
    </w:p>
    <w:p>
      <w:pPr>
        <w:pStyle w:val="MdParagraph"/>
      </w:pPr>
      <w:r>
        <w:t xml:space="preserve">Write </w:t>
      </w:r>
      <w:r>
        <w:rPr>
          <w:rStyle w:val="MdCode"/>
          <w:u w:val="single"/>
        </w:rPr>
        <w:t xml:space="preserve">backend/scripts/validate_artifacts.py</w:t>
      </w:r>
      <w:r>
        <w:t xml:space="preserve"> to output a machine-readable JSON report and exit nonzero on any failed invariant.</w:t>
      </w:r>
    </w:p>
    <w:p>
      <w:pPr>
        <w:pStyle w:val="MdSpace"/>
        <w:spacing w:before="0" w:after="60"/>
      </w:pPr>
    </w:p>
    <w:p>
      <w:pPr>
        <w:pStyle w:val="Heading2"/>
        <w:pStyle w:val="MdHeading2"/>
      </w:pPr>
      <w:r>
        <w:t xml:space="preserve">Required regression tests</w:t>
      </w:r>
    </w:p>
    <w:p>
      <w:pPr>
        <w:pStyle w:val="MdParagraph"/>
      </w:pPr>
      <w:r>
        <w:t xml:space="preserve">Create </w:t>
      </w:r>
      <w:r>
        <w:rPr>
          <w:rStyle w:val="MdCode"/>
          <w:u w:val="single"/>
        </w:rPr>
        <w:t xml:space="preserve">backend/tests/test_artifact_contract.py</w:t>
      </w:r>
      <w:r>
        <w:t xml:space="preserve"> with tiny fixture artifacts covering:</w:t>
      </w:r>
    </w:p>
    <w:p>
      <w:pPr>
        <w:pStyle w:val="MdSpace"/>
        <w:spacing w:before="0" w:after="60"/>
      </w:pPr>
    </w:p>
    <w:p>
      <w:pPr>
        <w:pStyle w:val="MdListItem"/>
        <w:numPr>
          <w:ilvl w:val="0"/>
          <w:numId w:val="3"/>
        </w:numPr>
      </w:pPr>
      <w:r>
        <w:t xml:space="preserve">valid HI/BN/EN bundle;</w:t>
      </w:r>
    </w:p>
    <w:p>
      <w:pPr>
        <w:pStyle w:val="MdListItem"/>
        <w:numPr>
          <w:ilvl w:val="0"/>
          <w:numId w:val="3"/>
        </w:numPr>
      </w:pPr>
      <w:r>
        <w:t xml:space="preserve">missing language directory;</w:t>
      </w:r>
    </w:p>
    <w:p>
      <w:pPr>
        <w:pStyle w:val="MdListItem"/>
        <w:numPr>
          <w:ilvl w:val="0"/>
          <w:numId w:val="3"/>
        </w:numPr>
      </w:pPr>
      <w:r>
        <w:t xml:space="preserve">duplicate metadata ID;</w:t>
      </w:r>
    </w:p>
    <w:p>
      <w:pPr>
        <w:pStyle w:val="MdListItem"/>
        <w:numPr>
          <w:ilvl w:val="0"/>
          <w:numId w:val="3"/>
        </w:numPr>
      </w:pPr>
      <w:r>
        <w:t xml:space="preserve">HNSW count mismatch;</w:t>
      </w:r>
    </w:p>
    <w:p>
      <w:pPr>
        <w:pStyle w:val="MdListItem"/>
        <w:numPr>
          <w:ilvl w:val="0"/>
          <w:numId w:val="3"/>
        </w:numPr>
      </w:pPr>
      <w:r>
        <w:t xml:space="preserve">missing metadata label;</w:t>
      </w:r>
    </w:p>
    <w:p>
      <w:pPr>
        <w:pStyle w:val="MdListItem"/>
        <w:numPr>
          <w:ilvl w:val="0"/>
          <w:numId w:val="3"/>
        </w:numPr>
      </w:pPr>
      <w:r>
        <w:t xml:space="preserve">wrong embedding dimension;</w:t>
      </w:r>
    </w:p>
    <w:p>
      <w:pPr>
        <w:pStyle w:val="MdListItem"/>
        <w:numPr>
          <w:ilvl w:val="0"/>
          <w:numId w:val="3"/>
        </w:numPr>
      </w:pPr>
      <w:r>
        <w:t xml:space="preserve">wrong HNSW space;</w:t>
      </w:r>
    </w:p>
    <w:p>
      <w:pPr>
        <w:pStyle w:val="MdListItem"/>
        <w:numPr>
          <w:ilvl w:val="0"/>
          <w:numId w:val="3"/>
        </w:numPr>
      </w:pPr>
      <w:r>
        <w:t xml:space="preserve">wrong language partition;</w:t>
      </w:r>
    </w:p>
    <w:p>
      <w:pPr>
        <w:pStyle w:val="MdListItem"/>
        <w:numPr>
          <w:ilvl w:val="0"/>
          <w:numId w:val="3"/>
        </w:numPr>
      </w:pPr>
      <w:r>
        <w:t xml:space="preserve">missing BM25 artifact.</w:t>
      </w:r>
    </w:p>
    <w:p>
      <w:pPr>
        <w:pStyle w:val="MdSpace"/>
        <w:spacing w:before="0" w:after="60"/>
      </w:pPr>
    </w:p>
    <w:p>
      <w:pPr>
        <w:pStyle w:val="Heading1"/>
        <w:pStyle w:val="MdHeading1"/>
      </w:pPr>
      <w:r>
        <w:t xml:space="preserve">PHASE 4 — Repair the RAG hot path without changing ranking yet</w:t>
      </w:r>
    </w:p>
    <w:p>
      <w:pPr>
        <w:pStyle w:val="Heading2"/>
        <w:pStyle w:val="MdHeading2"/>
      </w:pPr>
      <w:r>
        <w:t xml:space="preserve">Primary file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backend/pipeline/retrieval_service.py</w:t>
      </w:r>
    </w:p>
    <w:p>
      <w:pPr>
        <w:pStyle w:val="MdSpace"/>
        <w:spacing w:before="0" w:after="60"/>
      </w:pPr>
    </w:p>
    <w:p>
      <w:pPr>
        <w:pStyle w:val="Heading2"/>
        <w:pStyle w:val="MdHeading2"/>
      </w:pPr>
      <w:r>
        <w:t xml:space="preserve">Required changes</w:t>
      </w:r>
    </w:p>
    <w:p>
      <w:pPr>
        <w:pStyle w:val="MdListItem"/>
        <w:numPr>
          <w:ilvl w:val="0"/>
          <w:numId w:val="2"/>
        </w:numPr>
      </w:pPr>
      <w:r>
        <w:t xml:space="preserve">Import </w:t>
      </w:r>
      <w:r>
        <w:rPr>
          <w:rStyle w:val="MdCode"/>
          <w:u w:val="single"/>
        </w:rPr>
        <w:t xml:space="preserve">time</w:t>
      </w:r>
      <w:r>
        <w:t xml:space="preserve">.</w:t>
      </w:r>
    </w:p>
    <w:p>
      <w:pPr>
        <w:pStyle w:val="MdListItem"/>
        <w:numPr>
          <w:ilvl w:val="0"/>
          <w:numId w:val="2"/>
        </w:numPr>
      </w:pPr>
      <w:r>
        <w:t xml:space="preserve">Keep preprocessing, language routing, cache lookup, embedding, BM25, HNSW, RRF, metadata, and cache store as separate timed stages.</w:t>
      </w:r>
    </w:p>
    <w:p>
      <w:pPr>
        <w:pStyle w:val="MdListItem"/>
        <w:numPr>
          <w:ilvl w:val="0"/>
          <w:numId w:val="2"/>
        </w:numPr>
      </w:pPr>
      <w:r>
        <w:t xml:space="preserve">Replace repeated </w:t>
      </w:r>
      <w:r>
        <w:rPr>
          <w:rStyle w:val="MdCode"/>
          <w:u w:val="single"/>
        </w:rPr>
        <w:t xml:space="preserve">DataFrame.loc[str(id)]</w:t>
      </w:r>
      <w:r>
        <w:t xml:space="preserve"> calls with a prebuilt immutable map:</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metadata_by_id[language][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(doc_id)]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ListItem"/>
        <w:numPr>
          <w:ilvl w:val="0"/>
          <w:numId w:val="2"/>
        </w:numPr>
      </w:pPr>
      <w:r>
        <w:t xml:space="preserve">Never silently drop a missing metadata ID. Count it, log it with a request ID, and expose a bounded diagnostic counter. If it occurs in a validated artifact, fail the artifact audit.</w:t>
      </w:r>
    </w:p>
    <w:p>
      <w:pPr>
        <w:pStyle w:val="MdListItem"/>
        <w:numPr>
          <w:ilvl w:val="0"/>
          <w:numId w:val="2"/>
        </w:numPr>
      </w:pPr>
      <w:r>
        <w:t xml:space="preserve">Keep IDs consistently as strings at ingest, HNSW, BM25, cache, and response layers.</w:t>
      </w:r>
    </w:p>
    <w:p>
      <w:pPr>
        <w:pStyle w:val="MdListItem"/>
        <w:numPr>
          <w:ilvl w:val="0"/>
          <w:numId w:val="2"/>
        </w:numPr>
      </w:pPr>
      <w:r>
        <w:t xml:space="preserve">Make cache timing honest. On a cache hit, return </w:t>
      </w:r>
      <w:r>
        <w:rPr>
          <w:rStyle w:val="MdCode"/>
          <w:u w:val="single"/>
        </w:rPr>
        <w:t xml:space="preserve">cache_lookup_ms</w:t>
      </w:r>
      <w:r>
        <w:t xml:space="preserve"> and </w:t>
      </w:r>
      <w:r>
        <w:rPr>
          <w:rStyle w:val="MdCode"/>
          <w:u w:val="single"/>
        </w:rPr>
        <w:t xml:space="preserve">retrieval_reused=true</w:t>
      </w:r>
      <w:r>
        <w:t xml:space="preserve">; do not pretend the embedding/BM25/HNSW stages executed.</w:t>
      </w:r>
    </w:p>
    <w:p>
      <w:pPr>
        <w:pStyle w:val="MdListItem"/>
        <w:numPr>
          <w:ilvl w:val="0"/>
          <w:numId w:val="2"/>
        </w:numPr>
      </w:pPr>
      <w:r>
        <w:t xml:space="preserve">Include artifact version and model revision in the cache key. The key should include language/script route, normalized query, top_k, artifact version, and embedding revision.</w:t>
      </w:r>
    </w:p>
    <w:p>
      <w:pPr>
        <w:pStyle w:val="MdListItem"/>
        <w:numPr>
          <w:ilvl w:val="0"/>
          <w:numId w:val="2"/>
        </w:numPr>
      </w:pPr>
      <w:r>
        <w:t xml:space="preserve">Keep </w:t>
      </w:r>
      <w:r>
        <w:rPr>
          <w:rStyle w:val="MdCode"/>
          <w:u w:val="single"/>
        </w:rPr>
        <w:t xml:space="preserve">fusion_k</w:t>
      </w:r>
      <w:r>
        <w:t xml:space="preserve"> and RRF </w:t>
      </w:r>
      <w:r>
        <w:rPr>
          <w:rStyle w:val="MdCode"/>
          <w:u w:val="single"/>
        </w:rPr>
        <w:t xml:space="preserve">k</w:t>
      </w:r>
      <w:r>
        <w:t xml:space="preserve"> configurable, but do not change their default values until the baseline accuracy report is repaired.</w:t>
      </w:r>
    </w:p>
    <w:p>
      <w:pPr>
        <w:pStyle w:val="MdListItem"/>
        <w:numPr>
          <w:ilvl w:val="0"/>
          <w:numId w:val="2"/>
        </w:numPr>
      </w:pPr>
      <w:r>
        <w:t xml:space="preserve">Benchmark sequential versus bounded concurrent BM25/HNSW only after a correctness baseline exists. Do not create unlimited threads.</w:t>
      </w:r>
    </w:p>
    <w:p>
      <w:pPr>
        <w:pStyle w:val="MdSpace"/>
        <w:spacing w:before="0" w:after="60"/>
      </w:pPr>
    </w:p>
    <w:p>
      <w:pPr>
        <w:pStyle w:val="Heading2"/>
        <w:pStyle w:val="MdHeading2"/>
      </w:pPr>
      <w:r>
        <w:t xml:space="preserve">Acceptance gate</w:t>
      </w:r>
    </w:p>
    <w:p>
      <w:pPr>
        <w:pStyle w:val="MdParagraph"/>
      </w:pPr>
      <w:r>
        <w:t xml:space="preserve">With a real fixture or real artifact bundle: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missing_metadata_ids == 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metadata_rows == hnsw_count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cache hit returns identical IDs/text/scores to cache miss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cache key changes when artifact version changes</w:t>
      </w:r>
    </w:p>
    <w:p>
      <w:pPr>
        <w:pStyle w:val="MdSpace"/>
        <w:spacing w:before="0" w:after="60"/>
      </w:pPr>
    </w:p>
    <w:p>
      <w:pPr>
        <w:pStyle w:val="Heading1"/>
        <w:pStyle w:val="MdHeading1"/>
      </w:pPr>
      <w:r>
        <w:t xml:space="preserve">PHASE 5 — Implement the true extractive fast path</w:t>
      </w:r>
    </w:p>
    <w:p>
      <w:pPr>
        <w:pStyle w:val="Heading2"/>
        <w:pStyle w:val="MdHeading2"/>
      </w:pPr>
      <w:r>
        <w:t xml:space="preserve">Required architecture</w:t>
      </w:r>
    </w:p>
    <w:p>
      <w:pPr>
        <w:pStyle w:val="MdParagraph"/>
      </w:pPr>
      <w:r>
        <w:t xml:space="preserve">The current </w:t>
      </w:r>
      <w:r>
        <w:rPr>
          <w:rStyle w:val="MdCode"/>
          <w:u w:val="single"/>
        </w:rPr>
        <w:t xml:space="preserve">backend/routes/query.py:35-40</w:t>
      </w:r>
      <w:r>
        <w:t xml:space="preserve"> and </w:t>
      </w:r>
      <w:r>
        <w:rPr>
          <w:rStyle w:val="MdCode"/>
          <w:u w:val="single"/>
        </w:rPr>
        <w:t xml:space="preserve">backend/routes/voice.py:54-58</w:t>
      </w:r>
      <w:r>
        <w:t xml:space="preserve"> call SLM generation inline. Replace this with a two-tier contract.</w:t>
      </w:r>
    </w:p>
    <w:p>
      <w:pPr>
        <w:pStyle w:val="MdSpace"/>
        <w:spacing w:before="0" w:after="60"/>
      </w:pPr>
    </w:p>
    <w:p>
      <w:pPr>
        <w:pStyle w:val="Heading3"/>
        <w:pStyle w:val="MdHeading3"/>
      </w:pPr>
      <w:r>
        <w:t xml:space="preserve">Text API</w:t>
      </w:r>
    </w:p>
    <w:p>
      <w:pPr>
        <w:pStyle w:val="MdParagraph"/>
      </w:pPr>
      <w:r>
        <w:t xml:space="preserve">Preserve backward compatibility but add an explicit request field: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QueryRequest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Literal[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top_k: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Space"/>
        <w:spacing w:before="0" w:after="60"/>
      </w:pPr>
    </w:p>
    <w:p>
      <w:pPr>
        <w:pStyle w:val="MdParagraph"/>
      </w:pPr>
      <w:r>
        <w:t xml:space="preserve">The default request must: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preprocess -&gt; retrieve -&gt; build grounded extractive answer -&gt; validate -&gt; return</w:t>
      </w:r>
    </w:p>
    <w:p>
      <w:pPr>
        <w:pStyle w:val="MdSpace"/>
        <w:spacing w:before="0" w:after="60"/>
      </w:pPr>
    </w:p>
    <w:p>
      <w:pPr>
        <w:pStyle w:val="MdParagraph"/>
      </w:pPr>
      <w:r>
        <w:t xml:space="preserve">Generation must be opt-in: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/api/query with generate=false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complete grounded extractive answer + sources + fast timings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/api/query with generate=true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same fast answer + optional generated rewrite + generation timings</w:t>
      </w:r>
    </w:p>
    <w:p>
      <w:pPr>
        <w:pStyle w:val="MdSpace"/>
        <w:spacing w:before="0" w:after="60"/>
      </w:pPr>
    </w:p>
    <w:p>
      <w:pPr>
        <w:pStyle w:val="MdParagraph"/>
      </w:pPr>
      <w:r>
        <w:t xml:space="preserve">Prefer two endpoints or two explicit calls for UI latency: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/api/query/fast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/api/query/generate</w:t>
      </w:r>
    </w:p>
    <w:p>
      <w:pPr>
        <w:pStyle w:val="MdSpace"/>
        <w:spacing w:before="0" w:after="60"/>
      </w:pPr>
    </w:p>
    <w:p>
      <w:pPr>
        <w:pStyle w:val="MdParagraph"/>
      </w:pPr>
      <w:r>
        <w:t xml:space="preserve">If backward compatibility requires one endpoint, </w:t>
      </w:r>
      <w:r>
        <w:rPr>
          <w:rStyle w:val="MdCode"/>
          <w:u w:val="single"/>
        </w:rPr>
        <w:t xml:space="preserve">generate=false</w:t>
      </w:r>
      <w:r>
        <w:t xml:space="preserve"> must be the default and the frontend must render the fast answer before requesting the rewrite.</w:t>
      </w:r>
    </w:p>
    <w:p>
      <w:pPr>
        <w:pStyle w:val="MdSpace"/>
        <w:spacing w:before="0" w:after="60"/>
      </w:pPr>
    </w:p>
    <w:p>
      <w:pPr>
        <w:pStyle w:val="Heading3"/>
        <w:pStyle w:val="MdHeading3"/>
      </w:pPr>
      <w:r>
        <w:t xml:space="preserve">Voice API</w:t>
      </w:r>
    </w:p>
    <w:p>
      <w:pPr>
        <w:pStyle w:val="MdParagraph"/>
      </w:pPr>
      <w:r>
        <w:rPr>
          <w:rStyle w:val="MdCode"/>
          <w:u w:val="single"/>
        </w:rPr>
        <w:t xml:space="preserve">backend/routes/voice.py</w:t>
      </w:r>
      <w:r>
        <w:t xml:space="preserve"> must support: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audio -&gt; STT -&gt; fast extractive answer -&gt; return transcript + fast answer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optional generate=true rewrite</w:t>
      </w:r>
    </w:p>
    <w:p>
      <w:pPr>
        <w:pStyle w:val="MdSpace"/>
        <w:spacing w:before="0" w:after="60"/>
      </w:pPr>
    </w:p>
    <w:p>
      <w:pPr>
        <w:pStyle w:val="MdParagraph"/>
      </w:pPr>
      <w:r>
        <w:t xml:space="preserve">Return separate fields: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"answer"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"answer_source"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"extractive|generated|abstain"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"stt_ms"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"fast_rag_ms"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"generation_ms"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"end_to_end_ms"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Never label an LLM-blocked response as a 50 ms RAG response.</w:t>
      </w:r>
    </w:p>
    <w:p>
      <w:pPr>
        <w:pStyle w:val="MdSpace"/>
        <w:spacing w:before="0" w:after="60"/>
      </w:pPr>
    </w:p>
    <w:p>
      <w:pPr>
        <w:pStyle w:val="Heading2"/>
        <w:pStyle w:val="MdHeading2"/>
      </w:pPr>
      <w:r>
        <w:t xml:space="preserve">Extractive answer implementation</w:t>
      </w:r>
    </w:p>
    <w:p>
      <w:pPr>
        <w:pStyle w:val="MdParagraph"/>
      </w:pPr>
      <w:r>
        <w:t xml:space="preserve">Add a dedicated module, preferably:</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backend/pipeline/extractive.py</w:t>
      </w:r>
    </w:p>
    <w:p>
      <w:pPr>
        <w:pStyle w:val="MdSpace"/>
        <w:spacing w:before="0" w:after="60"/>
      </w:pPr>
    </w:p>
    <w:p>
      <w:pPr>
        <w:pStyle w:val="MdParagraph"/>
      </w:pPr>
      <w:r>
        <w:t xml:space="preserve">It must choose a grounded span/sentence from retrieved results using deterministic scoring. It must not call the SLM. It must preserve source IDs and citations. If support is below threshold, return a typed abstention instead of a fabricated answer.</w:t>
      </w:r>
    </w:p>
    <w:p>
      <w:pPr>
        <w:pStyle w:val="MdSpace"/>
        <w:spacing w:before="0" w:after="60"/>
      </w:pPr>
    </w:p>
    <w:p>
      <w:pPr>
        <w:pStyle w:val="Heading2"/>
        <w:pStyle w:val="MdHeading2"/>
      </w:pPr>
      <w:r>
        <w:t xml:space="preserve">Acceptance gate</w:t>
      </w:r>
    </w:p>
    <w:p>
      <w:pPr>
        <w:pStyle w:val="MdParagraph"/>
      </w:pPr>
      <w:r>
        <w:t xml:space="preserve">These tests must pass: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disabled + generate=false -&gt; non-empty extractive answer when context supports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unavailable + generate=false -&gt; same extractive answer, no 5xx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disabled + generate=true -&gt; fast answer plus explicit generated-unavailable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fast response does not wait for an external provider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response includes citations/source IDs</w:t>
      </w:r>
    </w:p>
    <w:p>
      <w:pPr>
        <w:pStyle w:val="MdSpace"/>
        <w:spacing w:before="0" w:after="60"/>
      </w:pPr>
    </w:p>
    <w:p>
      <w:pPr>
        <w:pStyle w:val="Heading1"/>
        <w:pStyle w:val="MdHeading1"/>
      </w:pPr>
      <w:r>
        <w:t xml:space="preserve">PHASE 6 — Repair grounding and input/output guardrails</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backend/pipeline/generator.py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backend/pipeline/grounding.py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backend/pipeline/guardrails.py</w:t>
      </w:r>
    </w:p>
    <w:p>
      <w:pPr>
        <w:pStyle w:val="MdSpace"/>
        <w:spacing w:before="0" w:after="60"/>
      </w:pPr>
    </w:p>
    <w:p>
      <w:pPr>
        <w:pStyle w:val="Heading2"/>
        <w:pStyle w:val="MdHeading2"/>
      </w:pPr>
      <w:r>
        <w:t xml:space="preserve">Required changes</w:t>
      </w:r>
    </w:p>
    <w:p>
      <w:pPr>
        <w:pStyle w:val="MdListItem"/>
        <w:numPr>
          <w:ilvl w:val="0"/>
          <w:numId w:val="2"/>
        </w:numPr>
      </w:pPr>
      <w:r>
        <w:t xml:space="preserve">Change </w:t>
      </w:r>
      <w:r>
        <w:rPr>
          <w:rStyle w:val="MdCode"/>
          <w:u w:val="single"/>
        </w:rPr>
        <w:t xml:space="preserve">_validate_answer</w:t>
      </w:r>
      <w:r>
        <w:t xml:space="preserve"> from </w:t>
      </w:r>
      <w:r>
        <w:rPr>
          <w:rStyle w:val="MdCode"/>
          <w:u w:val="single"/>
        </w:rPr>
        <w:t xml:space="preserve">-&gt; bool</w:t>
      </w:r>
      <w:r>
        <w:t xml:space="preserve"> to an explicit status type: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GroundingDecision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SUPPORTED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UNSUPPORTED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"UNSUPPORTED"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INSUFFICIENT_CONTEXT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"INSUFFICIENT_CONTEXT"</w:t>
      </w:r>
    </w:p>
    <w:p>
      <w:pPr>
        <w:pStyle w:val="MdSpace"/>
        <w:spacing w:before="0" w:after="60"/>
      </w:pPr>
    </w:p>
    <w:p>
      <w:pPr>
        <w:pStyle w:val="MdListItem"/>
        <w:numPr>
          <w:ilvl w:val="0"/>
          <w:numId w:val="2"/>
        </w:numPr>
      </w:pPr>
      <w:r>
        <w:t xml:space="preserve">Keep source context separate from prompt instructions.</w:t>
      </w:r>
    </w:p>
    <w:p>
      <w:pPr>
        <w:pStyle w:val="MdListItem"/>
        <w:numPr>
          <w:ilvl w:val="0"/>
          <w:numId w:val="2"/>
        </w:numPr>
      </w:pPr>
      <w:r>
        <w:t xml:space="preserve">Preserve the original retrieved text for citations; do not cite hard-truncated text without indicating truncation.</w:t>
      </w:r>
    </w:p>
    <w:p>
      <w:pPr>
        <w:pStyle w:val="MdListItem"/>
        <w:numPr>
          <w:ilvl w:val="0"/>
          <w:numId w:val="2"/>
        </w:numPr>
      </w:pPr>
      <w:r>
        <w:t xml:space="preserve">Replace the single difflib threshold with:</w:t>
      </w:r>
    </w:p>
    <w:p>
      <w:pPr>
        <w:pStyle w:val="MdListItem"/>
        <w:numPr>
          <w:ilvl w:val="1"/>
          <w:numId w:val="3"/>
        </w:numPr>
      </w:pPr>
      <w:r>
        <w:t xml:space="preserve">minimum retrieval support score;</w:t>
      </w:r>
    </w:p>
    <w:p>
      <w:pPr>
        <w:pStyle w:val="MdListItem"/>
        <w:numPr>
          <w:ilvl w:val="1"/>
          <w:numId w:val="3"/>
        </w:numPr>
      </w:pPr>
      <w:r>
        <w:t xml:space="preserve">answer token overlap;</w:t>
      </w:r>
    </w:p>
    <w:p>
      <w:pPr>
        <w:pStyle w:val="MdListItem"/>
        <w:numPr>
          <w:ilvl w:val="1"/>
          <w:numId w:val="3"/>
        </w:numPr>
      </w:pPr>
      <w:r>
        <w:t xml:space="preserve">novel content-token detection;</w:t>
      </w:r>
    </w:p>
    <w:p>
      <w:pPr>
        <w:pStyle w:val="MdListItem"/>
        <w:numPr>
          <w:ilvl w:val="1"/>
          <w:numId w:val="3"/>
        </w:numPr>
      </w:pPr>
      <w:r>
        <w:t xml:space="preserve">numeric/date/name checks;</w:t>
      </w:r>
    </w:p>
    <w:p>
      <w:pPr>
        <w:pStyle w:val="MdListItem"/>
        <w:numPr>
          <w:ilvl w:val="1"/>
          <w:numId w:val="3"/>
        </w:numPr>
      </w:pPr>
      <w:r>
        <w:t xml:space="preserve">Hindi/Bengali/English function-word and inflection handling.</w:t>
      </w:r>
    </w:p>
    <w:p>
      <w:pPr>
        <w:pStyle w:val="MdListItem"/>
        <w:numPr>
          <w:ilvl w:val="0"/>
          <w:numId w:val="2"/>
        </w:numPr>
      </w:pPr>
      <w:r>
        <w:t xml:space="preserve">Add input guardrails before retrieval for empty input, greetings, prompt injection, and unsafe requests. Do not block legitimate corpus questions only because they contain a topic word.</w:t>
      </w:r>
    </w:p>
    <w:p>
      <w:pPr>
        <w:pStyle w:val="MdListItem"/>
        <w:numPr>
          <w:ilvl w:val="0"/>
          <w:numId w:val="2"/>
        </w:numPr>
      </w:pPr>
      <w:r>
        <w:t xml:space="preserve">If a generated answer fails verification, return the extractive answer or an abstention; never return the unsupported generated text as the main answer.</w:t>
      </w:r>
    </w:p>
    <w:p>
      <w:pPr>
        <w:pStyle w:val="MdListItem"/>
        <w:numPr>
          <w:ilvl w:val="0"/>
          <w:numId w:val="2"/>
        </w:numPr>
      </w:pPr>
      <w:r>
        <w:t xml:space="preserve">Keep any unsourced model answer in a separate opt-in field with no citations and an explicit warning. Default </w:t>
      </w:r>
      <w:r>
        <w:rPr>
          <w:rStyle w:val="MdCode"/>
          <w:u w:val="single"/>
        </w:rPr>
        <w:t xml:space="preserve">ALLOW_UNSOURCED=false</w:t>
      </w:r>
      <w:r>
        <w:t xml:space="preserve"> for strict grounded mode.</w:t>
      </w:r>
    </w:p>
    <w:p>
      <w:pPr>
        <w:pStyle w:val="MdSpace"/>
        <w:spacing w:before="0" w:after="60"/>
      </w:pPr>
    </w:p>
    <w:p>
      <w:pPr>
        <w:pStyle w:val="Heading2"/>
        <w:pStyle w:val="MdHeading2"/>
      </w:pPr>
      <w:r>
        <w:t xml:space="preserve">Acceptance gate</w:t>
      </w:r>
    </w:p>
    <w:p>
      <w:pPr>
        <w:pStyle w:val="MdParagraph"/>
      </w:pPr>
      <w:r>
        <w:t xml:space="preserve">Add behavioural tests for: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greeting -&gt; greeting response, no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prompt injection -&gt; refusal, no generation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unsupported question -&gt; abstention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supported HI question -&gt; extractive answer with citation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supported BN question -&gt; extractive answer with citation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supported EN question -&gt; extractive answer with citation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wrong-number hallucination -&gt; rejected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valid Hindi/Bengali inflection -&gt; not falsely rejected</w:t>
      </w:r>
    </w:p>
    <w:p>
      <w:pPr>
        <w:pStyle w:val="MdSpace"/>
        <w:spacing w:before="0" w:after="60"/>
      </w:pPr>
    </w:p>
    <w:p>
      <w:pPr>
        <w:pStyle w:val="Heading1"/>
        <w:pStyle w:val="MdHeading1"/>
      </w:pPr>
      <w:r>
        <w:t xml:space="preserve">PHASE 7 — Repair SLM transport and make it optional/resilient</w:t>
      </w:r>
    </w:p>
    <w:p>
      <w:pPr>
        <w:pStyle w:val="Heading2"/>
        <w:pStyle w:val="MdHeading2"/>
      </w:pPr>
      <w:r>
        <w:t xml:space="preserve">File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backend/pipeline/slm_client.py</w:t>
      </w:r>
    </w:p>
    <w:p>
      <w:pPr>
        <w:pStyle w:val="MdSpace"/>
        <w:spacing w:before="0" w:after="60"/>
      </w:pPr>
    </w:p>
    <w:p>
      <w:pPr>
        <w:pStyle w:val="Heading2"/>
        <w:pStyle w:val="MdHeading2"/>
      </w:pPr>
      <w:r>
        <w:t xml:space="preserve">Required changes</w:t>
      </w:r>
    </w:p>
    <w:p>
      <w:pPr>
        <w:pStyle w:val="MdListItem"/>
        <w:numPr>
          <w:ilvl w:val="0"/>
          <w:numId w:val="2"/>
        </w:numPr>
      </w:pPr>
      <w:r>
        <w:t xml:space="preserve">Add the missing </w:t>
      </w:r>
      <w:r>
        <w:rPr>
          <w:rStyle w:val="MdCode"/>
          <w:u w:val="single"/>
        </w:rPr>
        <w:t xml:space="preserve">requests</w:t>
      </w:r>
      <w:r>
        <w:t xml:space="preserve"> import.</w:t>
      </w:r>
    </w:p>
    <w:p>
      <w:pPr>
        <w:pStyle w:val="MdListItem"/>
        <w:numPr>
          <w:ilvl w:val="0"/>
          <w:numId w:val="2"/>
        </w:numPr>
      </w:pPr>
      <w:r>
        <w:t xml:space="preserve">Reuse a single HTTP session, but do not blindly retry every POST three times.</w:t>
      </w:r>
    </w:p>
    <w:p>
      <w:pPr>
        <w:pStyle w:val="MdListItem"/>
        <w:numPr>
          <w:ilvl w:val="0"/>
          <w:numId w:val="2"/>
        </w:numPr>
      </w:pPr>
      <w:r>
        <w:t xml:space="preserve">Use separate connect/read timeouts, for 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connect timeout: 2 seconds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read timeout: provider-specific, preferably &lt;= 8 seconds for demo mode</w:t>
      </w:r>
    </w:p>
    <w:p>
      <w:pPr>
        <w:pStyle w:val="MdSpace"/>
        <w:spacing w:before="0" w:after="60"/>
      </w:pPr>
    </w:p>
    <w:p>
      <w:pPr>
        <w:pStyle w:val="MdListItem"/>
        <w:numPr>
          <w:ilvl w:val="0"/>
          <w:numId w:val="2"/>
        </w:numPr>
      </w:pPr>
      <w:r>
        <w:t xml:space="preserve">Retry only transient failures. Do not retry invalid API keys, malformed requests, or non-retriable 4xx responses.</w:t>
      </w:r>
    </w:p>
    <w:p>
      <w:pPr>
        <w:pStyle w:val="MdListItem"/>
        <w:numPr>
          <w:ilvl w:val="0"/>
          <w:numId w:val="2"/>
        </w:numPr>
      </w:pPr>
      <w:r>
        <w:t xml:space="preserve">On 429 or provider failure, return the already available extractive answer immediately in fast mode.</w:t>
      </w:r>
    </w:p>
    <w:p>
      <w:pPr>
        <w:pStyle w:val="MdListItem"/>
        <w:numPr>
          <w:ilvl w:val="0"/>
          <w:numId w:val="2"/>
        </w:numPr>
      </w:pPr>
      <w:r>
        <w:t xml:space="preserve">For multiple providers, switch provider with cooldown rather than waiting through long retries on a dead provider.</w:t>
      </w:r>
    </w:p>
    <w:p>
      <w:pPr>
        <w:pStyle w:val="MdListItem"/>
        <w:numPr>
          <w:ilvl w:val="0"/>
          <w:numId w:val="2"/>
        </w:numPr>
      </w:pPr>
      <w:r>
        <w:t xml:space="preserve">Parse OpenAI-compatible responses and provider-specific responses through a typed adapter.</w:t>
      </w:r>
    </w:p>
    <w:p>
      <w:pPr>
        <w:pStyle w:val="MdListItem"/>
        <w:numPr>
          <w:ilvl w:val="0"/>
          <w:numId w:val="2"/>
        </w:numPr>
      </w:pPr>
      <w:r>
        <w:t xml:space="preserve">Redact API keys, prompts, and response bodies from logs.</w:t>
      </w:r>
    </w:p>
    <w:p>
      <w:pPr>
        <w:pStyle w:val="MdListItem"/>
        <w:numPr>
          <w:ilvl w:val="0"/>
          <w:numId w:val="2"/>
        </w:numPr>
      </w:pPr>
      <w:r>
        <w:t xml:space="preserve">Record </w:t>
      </w:r>
      <w:r>
        <w:rPr>
          <w:rStyle w:val="MdCode"/>
          <w:u w:val="single"/>
        </w:rPr>
        <w:t xml:space="preserve">provider</w:t>
      </w:r>
      <w:r>
        <w:t xml:space="preserve">, </w:t>
      </w:r>
      <w:r>
        <w:rPr>
          <w:rStyle w:val="MdCode"/>
          <w:u w:val="single"/>
        </w:rPr>
        <w:t xml:space="preserve">model</w:t>
      </w:r>
      <w:r>
        <w:t xml:space="preserve">, </w:t>
      </w:r>
      <w:r>
        <w:rPr>
          <w:rStyle w:val="MdCode"/>
          <w:u w:val="single"/>
        </w:rPr>
        <w:t xml:space="preserve">attempts</w:t>
      </w:r>
      <w:r>
        <w:t xml:space="preserve">, </w:t>
      </w:r>
      <w:r>
        <w:rPr>
          <w:rStyle w:val="MdCode"/>
          <w:u w:val="single"/>
        </w:rPr>
        <w:t xml:space="preserve">generation_ms</w:t>
      </w:r>
      <w:r>
        <w:t xml:space="preserve">, and </w:t>
      </w:r>
      <w:r>
        <w:rPr>
          <w:rStyle w:val="MdCode"/>
          <w:u w:val="single"/>
        </w:rPr>
        <w:t xml:space="preserve">error_code</w:t>
      </w:r>
      <w:r>
        <w:t xml:space="preserve"> explicitly.</w:t>
      </w:r>
    </w:p>
    <w:p>
      <w:pPr>
        <w:pStyle w:val="MdSpace"/>
        <w:spacing w:before="0" w:after="60"/>
      </w:pPr>
    </w:p>
    <w:p>
      <w:pPr>
        <w:pStyle w:val="Heading2"/>
        <w:pStyle w:val="MdHeading2"/>
      </w:pPr>
      <w:r>
        <w:t xml:space="preserve">Acceptance gate</w:t>
      </w:r>
    </w:p>
    <w:p>
      <w:pPr>
        <w:pStyle w:val="MdParagraph"/>
      </w:pPr>
      <w:r>
        <w:t xml:space="preserve">Mocked transport tests may be used for error classification, but the final benchmark must include a real provider only when credentials are available. Report provider and model in the benchmark artifact.</w:t>
      </w:r>
    </w:p>
    <w:p>
      <w:pPr>
        <w:pStyle w:val="MdSpace"/>
        <w:spacing w:before="0" w:after="60"/>
      </w:pPr>
    </w:p>
    <w:p>
      <w:pPr>
        <w:pStyle w:val="Heading1"/>
        <w:pStyle w:val="MdHeading1"/>
      </w:pPr>
      <w:r>
        <w:t xml:space="preserve">PHASE 8 — Repair STT and voice integration</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backend/pipeline/stt.py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backend/pipeline/saaras_client.py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backend/routes/voice.py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frontend/src/hooks/useVoice.js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frontend/src/api/voice.js</w:t>
      </w:r>
    </w:p>
    <w:p>
      <w:pPr>
        <w:pStyle w:val="MdSpace"/>
        <w:spacing w:before="0" w:after="60"/>
      </w:pPr>
    </w:p>
    <w:p>
      <w:pPr>
        <w:pStyle w:val="Heading2"/>
        <w:pStyle w:val="MdHeading2"/>
      </w:pPr>
      <w:r>
        <w:t xml:space="preserve">Required changes</w:t>
      </w:r>
    </w:p>
    <w:p>
      <w:pPr>
        <w:pStyle w:val="MdListItem"/>
        <w:numPr>
          <w:ilvl w:val="0"/>
          <w:numId w:val="2"/>
        </w:numPr>
      </w:pPr>
      <w:r>
        <w:t xml:space="preserve">Add </w:t>
      </w:r>
      <w:r>
        <w:rPr>
          <w:rStyle w:val="MdCode"/>
          <w:u w:val="single"/>
        </w:rPr>
        <w:t xml:space="preserve">import logging</w:t>
      </w:r>
      <w:r>
        <w:t xml:space="preserve"> to </w:t>
      </w:r>
      <w:r>
        <w:rPr>
          <w:rStyle w:val="MdCode"/>
          <w:u w:val="single"/>
        </w:rPr>
        <w:t xml:space="preserve">stt.py</w:t>
      </w:r>
      <w:r>
        <w:t xml:space="preserve">.</w:t>
      </w:r>
    </w:p>
    <w:p>
      <w:pPr>
        <w:pStyle w:val="MdListItem"/>
        <w:numPr>
          <w:ilvl w:val="0"/>
          <w:numId w:val="2"/>
        </w:numPr>
      </w:pPr>
      <w:r>
        <w:t xml:space="preserve">Add persistent HTTP client and bounded retry/backoff to Saaras transport.</w:t>
      </w:r>
    </w:p>
    <w:p>
      <w:pPr>
        <w:pStyle w:val="MdListItem"/>
        <w:numPr>
          <w:ilvl w:val="0"/>
          <w:numId w:val="2"/>
        </w:numPr>
      </w:pPr>
      <w:r>
        <w:t xml:space="preserve">Validate both file extension and MIME type. Support browser WebM/Opus explicitly.</w:t>
      </w:r>
    </w:p>
    <w:p>
      <w:pPr>
        <w:pStyle w:val="MdListItem"/>
        <w:numPr>
          <w:ilvl w:val="0"/>
          <w:numId w:val="2"/>
        </w:numPr>
      </w:pPr>
      <w:r>
        <w:t xml:space="preserve">Use </w:t>
      </w:r>
      <w:r>
        <w:rPr>
          <w:rStyle w:val="MdCode"/>
          <w:u w:val="single"/>
        </w:rPr>
        <w:t xml:space="preserve">MediaRecorder.isTypeSupported()</w:t>
      </w:r>
      <w:r>
        <w:t xml:space="preserve"> in the frontend and send the actual MIME type.</w:t>
      </w:r>
    </w:p>
    <w:p>
      <w:pPr>
        <w:pStyle w:val="MdListItem"/>
        <w:numPr>
          <w:ilvl w:val="0"/>
          <w:numId w:val="2"/>
        </w:numPr>
      </w:pPr>
      <w:r>
        <w:t xml:space="preserve">Keep audio size and duration limits.</w:t>
      </w:r>
    </w:p>
    <w:p>
      <w:pPr>
        <w:pStyle w:val="MdListItem"/>
        <w:numPr>
          <w:ilvl w:val="0"/>
          <w:numId w:val="2"/>
        </w:numPr>
      </w:pPr>
      <w:r>
        <w:t xml:space="preserve">Delete temporary files in all branches, including unexpected subprocess errors.</w:t>
      </w:r>
    </w:p>
    <w:p>
      <w:pPr>
        <w:pStyle w:val="MdListItem"/>
        <w:numPr>
          <w:ilvl w:val="0"/>
          <w:numId w:val="2"/>
        </w:numPr>
      </w:pPr>
      <w:r>
        <w:t xml:space="preserve">Return typed STT results instead of leaking provider exceptions.</w:t>
      </w:r>
    </w:p>
    <w:p>
      <w:pPr>
        <w:pStyle w:val="MdListItem"/>
        <w:numPr>
          <w:ilvl w:val="0"/>
          <w:numId w:val="2"/>
        </w:numPr>
      </w:pPr>
      <w:r>
        <w:t xml:space="preserve">Make language precedence explicit: user-selected language, trusted STT language, or configured default. Do not silently map unknown language to Hindi without a response flag.</w:t>
      </w:r>
    </w:p>
    <w:p>
      <w:pPr>
        <w:pStyle w:val="MdListItem"/>
        <w:numPr>
          <w:ilvl w:val="0"/>
          <w:numId w:val="2"/>
        </w:numPr>
      </w:pPr>
      <w:r>
        <w:t xml:space="preserve">Return transcript and fast answer independently from optional generation.</w:t>
      </w:r>
    </w:p>
    <w:p>
      <w:pPr>
        <w:pStyle w:val="MdSpace"/>
        <w:spacing w:before="0" w:after="60"/>
      </w:pPr>
    </w:p>
    <w:p>
      <w:pPr>
        <w:pStyle w:val="Heading2"/>
        <w:pStyle w:val="MdHeading2"/>
      </w:pPr>
      <w:r>
        <w:t xml:space="preserve">Acceptance gate</w:t>
      </w:r>
    </w:p>
    <w:p>
      <w:pPr>
        <w:pStyle w:val="MdParagraph"/>
      </w:pPr>
      <w:r>
        <w:t xml:space="preserve">Run real STT only if </w:t>
      </w:r>
      <w:r>
        <w:rPr>
          <w:rStyle w:val="MdCode"/>
          <w:u w:val="single"/>
        </w:rPr>
        <w:t xml:space="preserve">HHG_SAARAS_API_KEY</w:t>
      </w:r>
      <w:r>
        <w:t xml:space="preserve"> is available. Otherwise run contract tests and mark live STT </w:t>
      </w:r>
      <w:r>
        <w:rPr>
          <w:rStyle w:val="MdCode"/>
          <w:u w:val="single"/>
        </w:rPr>
        <w:t xml:space="preserve">NOT RUN</w:t>
      </w:r>
      <w:r>
        <w:t xml:space="preserve">. Required cases: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STT disabled -&gt; 503 with structured 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empty audio -&gt; 400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oversized audio -&gt; 413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unsupported MIME -&gt; 415 or clear conversion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provider timeout -&gt; bounded 504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provider 4xx -&gt; non-retryable structured error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valid transcript -&gt; language and text preserved</w:t>
      </w:r>
    </w:p>
    <w:p>
      <w:pPr>
        <w:pStyle w:val="MdSpace"/>
        <w:spacing w:before="0" w:after="60"/>
      </w:pPr>
    </w:p>
    <w:p>
      <w:pPr>
        <w:pStyle w:val="Heading1"/>
        <w:pStyle w:val="MdHeading1"/>
      </w:pPr>
      <w:r>
        <w:t xml:space="preserve">PHASE 9 — Repair accuracy evaluation and ID mapping</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backend/scripts/run_accuracy_benchmark.py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backend/evaluation/corpus_eval.py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reports/accuracy_manifest.json</w:t>
      </w:r>
    </w:p>
    <w:p>
      <w:pPr>
        <w:pStyle w:val="MdSpace"/>
        <w:spacing w:before="0" w:after="60"/>
      </w:pPr>
    </w:p>
    <w:p>
      <w:pPr>
        <w:pStyle w:val="Heading2"/>
        <w:pStyle w:val="MdHeading2"/>
      </w:pPr>
      <w:r>
        <w:t xml:space="preserve">Do not use the current MIRACL output as a quality result</w:t>
      </w:r>
    </w:p>
    <w:p>
      <w:pPr>
        <w:pStyle w:val="MdParagraph"/>
      </w:pPr>
      <w:r>
        <w:t xml:space="preserve">The current report has 100 HI and 100 BN queries with all-zero metrics because MIRACL IDs such as </w:t>
      </w:r>
      <w:r>
        <w:rPr>
          <w:rStyle w:val="MdCode"/>
          <w:u w:val="single"/>
        </w:rPr>
        <w:t xml:space="preserve">31181#4</w:t>
      </w:r>
      <w:r>
        <w:t xml:space="preserve"> do not match HHG hash-like artifact IDs. Do not publish these zeros as retrieval quality.</w:t>
      </w:r>
    </w:p>
    <w:p>
      <w:pPr>
        <w:pStyle w:val="MdSpace"/>
        <w:spacing w:before="0" w:after="60"/>
      </w:pPr>
    </w:p>
    <w:p>
      <w:pPr>
        <w:pStyle w:val="MdParagraph"/>
      </w:pPr>
      <w:r>
        <w:t xml:space="preserve">Choose one valid evaluation strategy:</w:t>
      </w:r>
    </w:p>
    <w:p>
      <w:pPr>
        <w:pStyle w:val="MdSpace"/>
        <w:spacing w:before="0" w:after="60"/>
      </w:pPr>
    </w:p>
    <w:p>
      <w:pPr>
        <w:pStyle w:val="Heading3"/>
        <w:pStyle w:val="MdHeading3"/>
      </w:pPr>
      <w:r>
        <w:t xml:space="preserve">Preferred: same-corpus evaluation</w:t>
      </w:r>
    </w:p>
    <w:p>
      <w:pPr>
        <w:pStyle w:val="MdParagraph"/>
      </w:pPr>
      <w:r>
        <w:t xml:space="preserve">At build time, emit: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"query_id"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"gold_passage_ids"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IDs must be exactly the IDs stored in metadata/HNSW. Use a deterministic train/dev/test split by query ID or a fixed seed.</w:t>
      </w:r>
    </w:p>
    <w:p>
      <w:pPr>
        <w:pStyle w:val="MdSpace"/>
        <w:spacing w:before="0" w:after="60"/>
      </w:pPr>
    </w:p>
    <w:p>
      <w:pPr>
        <w:pStyle w:val="Heading3"/>
        <w:pStyle w:val="MdHeading3"/>
      </w:pPr>
      <w:r>
        <w:t xml:space="preserve">Alternative: explicit MIRACL mapping</w:t>
      </w:r>
    </w:p>
    <w:p>
      <w:pPr>
        <w:pStyle w:val="MdParagraph"/>
      </w:pPr>
      <w:r>
        <w:t xml:space="preserve">If MIRACL must be used, create a deterministic mapping from MIRACL </w:t>
      </w:r>
      <w:r>
        <w:rPr>
          <w:rStyle w:val="MdCode"/>
          <w:u w:val="single"/>
        </w:rPr>
        <w:t xml:space="preserve">docid</w:t>
      </w:r>
      <w:r>
        <w:t xml:space="preserve"> to the exact HHG artifact ID and text. Prove the mapping by checking normalized text hashes and report the number of mapped/unmapped gold documents. Never compare raw IDs from two different datasets.</w:t>
      </w:r>
    </w:p>
    <w:p>
      <w:pPr>
        <w:pStyle w:val="MdSpace"/>
        <w:spacing w:before="0" w:after="60"/>
      </w:pPr>
    </w:p>
    <w:p>
      <w:pPr>
        <w:pStyle w:val="Heading2"/>
        <w:pStyle w:val="MdHeading2"/>
      </w:pPr>
      <w:r>
        <w:t xml:space="preserve">Required metrics</w:t>
      </w:r>
    </w:p>
    <w:p>
      <w:pPr>
        <w:pStyle w:val="MdParagraph"/>
      </w:pPr>
      <w:r>
        <w:t xml:space="preserve">For HI, BN, and EN separately, and for BM25-only, HNSW-only, and RRF:</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Precision@5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MRR@10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nDCG@10</w:t>
      </w:r>
    </w:p>
    <w:p>
      <w:pPr>
        <w:pStyle w:val="MdSpace"/>
        <w:spacing w:before="0" w:after="60"/>
      </w:pPr>
    </w:p>
    <w:p>
      <w:pPr>
        <w:pStyle w:val="MdParagraph"/>
      </w:pPr>
      <w:r>
        <w:t xml:space="preserve">Also report: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query_count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queries_with_gold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queries_with_mapped_gold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empty_result_rate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missing_metadata_id_count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artifact_manifest_sha256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model_revision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w:t>
      </w:r>
    </w:p>
    <w:p>
      <w:pPr>
        <w:pStyle w:val="MdSpace"/>
        <w:spacing w:before="0" w:after="60"/>
      </w:pPr>
    </w:p>
    <w:p>
      <w:pPr>
        <w:pStyle w:val="MdParagraph"/>
      </w:pPr>
      <w:r>
        <w:t xml:space="preserve">Use at least 1,000 held-out queries per language when available, or document a justified stratified sample. Do not call a 3-query report or an unmapped zero report an accuracy proof.</w:t>
      </w:r>
    </w:p>
    <w:p>
      <w:pPr>
        <w:pStyle w:val="MdSpace"/>
        <w:spacing w:before="0" w:after="60"/>
      </w:pPr>
    </w:p>
    <w:p>
      <w:pPr>
        <w:pStyle w:val="Heading2"/>
        <w:pStyle w:val="MdHeading2"/>
      </w:pPr>
      <w:r>
        <w:t xml:space="preserve">Acceptance gate</w:t>
      </w:r>
    </w:p>
    <w:p>
      <w:pPr>
        <w:pStyle w:val="MdParagraph"/>
      </w:pPr>
      <w:r>
        <w:t xml:space="preserve">Accuracy is considered proven only when: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 three languages have nonzero mapped gold counts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 three retrieval variants run on the same query set per 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ID mapping coverage is reported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metrics are reproducible with the same seed and manifest</w:t>
      </w:r>
    </w:p>
    <w:p>
      <w:pPr>
        <w:pStyle w:val="MdSpace"/>
        <w:spacing w:before="0" w:after="60"/>
      </w:pPr>
    </w:p>
    <w:p>
      <w:pPr>
        <w:pStyle w:val="Heading1"/>
        <w:pStyle w:val="MdHeading1"/>
      </w:pPr>
      <w:r>
        <w:t xml:space="preserve">PHASE 10 — Benchmark correctly and preserve latency tiers</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run_final_benchmark.py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run_benchmarks.py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backend/evaluation/latency_benchmark.py</w:t>
      </w:r>
    </w:p>
    <w:p>
      <w:pPr>
        <w:pStyle w:val="MdSpace"/>
        <w:spacing w:before="0" w:after="60"/>
      </w:pPr>
    </w:p>
    <w:p>
      <w:pPr>
        <w:pStyle w:val="Heading2"/>
        <w:pStyle w:val="MdHeading2"/>
      </w:pPr>
      <w:r>
        <w:t xml:space="preserve">Required benchmark design</w:t>
      </w:r>
    </w:p>
    <w:p>
      <w:pPr>
        <w:pStyle w:val="MdParagraph"/>
      </w:pPr>
      <w:r>
        <w:t xml:space="preserve">Do not label the same blocking request as three different tiers. Use explicit modes: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HHG_SLM_ENABLED=false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text fast endpoint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assert answer_source is extractive or abstain, never generated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PARTIAL: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HHG_SLM_ENABLED=true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text request with generate=true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report fast_rag_ms and generation_ms separately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STT enabled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voice request with generate=true or false explicitly stated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report stt_ms, fast_rag_ms, generation_ms, end_to_end_ms</w:t>
      </w:r>
    </w:p>
    <w:p>
      <w:pPr>
        <w:pStyle w:val="MdSpace"/>
        <w:spacing w:before="0" w:after="60"/>
      </w:pPr>
    </w:p>
    <w:p>
      <w:pPr>
        <w:pStyle w:val="MdParagraph"/>
      </w:pPr>
      <w:r>
        <w:t xml:space="preserve">Do not rewrite </w:t>
      </w:r>
      <w:r>
        <w:rPr>
          <w:rStyle w:val="MdCode"/>
          <w:u w:val="single"/>
        </w:rPr>
        <w:t xml:space="preserve">.env</w:t>
      </w:r>
      <w:r>
        <w:t xml:space="preserve">. Pass per-process environment variables. Run warmup separately from measured requests. Use real in-corpus queries for retrieval latency and a separate cache-bypass suite for cache behavior.</w:t>
      </w:r>
    </w:p>
    <w:p>
      <w:pPr>
        <w:pStyle w:val="MdSpace"/>
        <w:spacing w:before="0" w:after="60"/>
      </w:pPr>
    </w:p>
    <w:p>
      <w:pPr>
        <w:pStyle w:val="MdParagraph"/>
      </w:pPr>
      <w:r>
        <w:t xml:space="preserve">Report P50, P70, P95, P99, and P100 for every tier and stage. Verify both identities: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PARTIAL.fast_rag_ms == RAG_ONLY.fast_rag_ms within measurement tolerance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TOTAL.fast_rag_ms == RAG_ONLY.fast_rag_ms within measurement tolerance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TOTAL.end_to_end_ms &gt;= PARTIAL.end_to_end_ms &gt;= RAG_ONLY.fast_rag_ms</w:t>
      </w:r>
    </w:p>
    <w:p>
      <w:pPr>
        <w:pStyle w:val="MdSpace"/>
        <w:spacing w:before="0" w:after="60"/>
      </w:pPr>
    </w:p>
    <w:p>
      <w:pPr>
        <w:pStyle w:val="MdParagraph"/>
      </w:pPr>
      <w:r>
        <w:t xml:space="preserve">Do not include sleep/backoff time in the measured request unless it is part of the actual user-visible request. Do include all network time that the user waits for.</w:t>
      </w:r>
    </w:p>
    <w:p>
      <w:pPr>
        <w:pStyle w:val="MdSpace"/>
        <w:spacing w:before="0" w:after="60"/>
      </w:pPr>
    </w:p>
    <w:p>
      <w:pPr>
        <w:pStyle w:val="Heading2"/>
        <w:pStyle w:val="MdHeading2"/>
      </w:pPr>
      <w:r>
        <w:t xml:space="preserve">Acceptance gate</w:t>
      </w:r>
    </w:p>
    <w:p>
      <w:pPr>
        <w:pStyle w:val="MdParagraph"/>
      </w:pPr>
      <w:r>
        <w:t xml:space="preserve">The benchmark must fail if:</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any required stage is missing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any reported timing is hard-coded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RAG-only has no extractive/abstain decision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p95 ordering is violated without explanation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 hash/provider/model are missing</w:t>
      </w:r>
    </w:p>
    <w:p>
      <w:pPr>
        <w:pStyle w:val="MdSpace"/>
        <w:spacing w:before="0" w:after="60"/>
      </w:pPr>
    </w:p>
    <w:p>
      <w:pPr>
        <w:pStyle w:val="Heading1"/>
        <w:pStyle w:val="MdHeading1"/>
      </w:pPr>
      <w:r>
        <w:t xml:space="preserve">PHASE 11 — Tune only after correctness baseline</w:t>
      </w:r>
    </w:p>
    <w:p>
      <w:pPr>
        <w:pStyle w:val="MdParagraph"/>
      </w:pPr>
      <w:r>
        <w:t xml:space="preserve">Run an ablation in this order:</w:t>
      </w:r>
    </w:p>
    <w:p>
      <w:pPr>
        <w:pStyle w:val="MdSpace"/>
        <w:spacing w:before="0" w:after="60"/>
      </w:pPr>
    </w:p>
    <w:p>
      <w:pPr>
        <w:pStyle w:val="MdListItem"/>
        <w:numPr>
          <w:ilvl w:val="0"/>
          <w:numId w:val="2"/>
        </w:numPr>
      </w:pPr>
      <w:r>
        <w:t xml:space="preserve">ONNX thread counts: default, 1, 2, and configured maximum.</w:t>
      </w:r>
    </w:p>
    <w:p>
      <w:pPr>
        <w:pStyle w:val="MdListItem"/>
        <w:numPr>
          <w:ilvl w:val="0"/>
          <w:numId w:val="2"/>
        </w:numPr>
      </w:pPr>
      <w:r>
        <w:t xml:space="preserve">Tokenizer reuse and local tokenizer file.</w:t>
      </w:r>
    </w:p>
    <w:p>
      <w:pPr>
        <w:pStyle w:val="MdListItem"/>
        <w:numPr>
          <w:ilvl w:val="0"/>
          <w:numId w:val="2"/>
        </w:numPr>
      </w:pPr>
      <w:r>
        <w:t xml:space="preserve">Metadata dictionary versus DataFrame lookup.</w:t>
      </w:r>
    </w:p>
    <w:p>
      <w:pPr>
        <w:pStyle w:val="MdListItem"/>
        <w:numPr>
          <w:ilvl w:val="0"/>
          <w:numId w:val="2"/>
        </w:numPr>
      </w:pPr>
      <w:r>
        <w:t xml:space="preserve">BM25/HNSW sequential versus bounded concurrent execution.</w:t>
      </w:r>
    </w:p>
    <w:p>
      <w:pPr>
        <w:pStyle w:val="MdListItem"/>
        <w:numPr>
          <w:ilvl w:val="0"/>
          <w:numId w:val="2"/>
        </w:numPr>
      </w:pPr>
      <w:r>
        <w:t xml:space="preserve">Candidate counts: 20, 30, 60.</w:t>
      </w:r>
    </w:p>
    <w:p>
      <w:pPr>
        <w:pStyle w:val="MdListItem"/>
        <w:numPr>
          <w:ilvl w:val="0"/>
          <w:numId w:val="2"/>
        </w:numPr>
      </w:pPr>
      <w:r>
        <w:t xml:space="preserve">HNSW </w:t>
      </w:r>
      <w:r>
        <w:rPr>
          <w:rStyle w:val="MdCode"/>
          <w:u w:val="single"/>
        </w:rPr>
        <w:t xml:space="preserve">ef_search</w:t>
      </w:r>
      <w:r>
        <w:t xml:space="preserve">: 16, 32, 64, 96.</w:t>
      </w:r>
    </w:p>
    <w:p>
      <w:pPr>
        <w:pStyle w:val="MdListItem"/>
        <w:numPr>
          <w:ilvl w:val="0"/>
          <w:numId w:val="2"/>
        </w:numPr>
      </w:pPr>
      <w:r>
        <w:t xml:space="preserve">Context passages: 3, 4, 5.</w:t>
      </w:r>
    </w:p>
    <w:p>
      <w:pPr>
        <w:pStyle w:val="MdSpace"/>
        <w:spacing w:before="0" w:after="60"/>
      </w:pPr>
    </w:p>
    <w:p>
      <w:pPr>
        <w:pStyle w:val="MdParagraph"/>
      </w:pPr>
      <w:r>
        <w:t xml:space="preserve">For every configuration record: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config_name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MRR@10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P50/P95/P99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memory_peak_mb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CPU_threads</w:t>
      </w:r>
    </w:p>
    <w:p>
      <w:pPr>
        <w:pStyle w:val="MdSpace"/>
        <w:spacing w:before="0" w:after="60"/>
      </w:pPr>
    </w:p>
    <w:p>
      <w:pPr>
        <w:pStyle w:val="MdParagraph"/>
      </w:pPr>
      <w:r>
        <w:t xml:space="preserve">Choose a setting only when it improves or preserves Recall@10/MRR@10 and meets: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P50 &lt;= 50 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P95 &lt;= 50 ms</w:t>
      </w:r>
    </w:p>
    <w:p>
      <w:pPr>
        <w:pStyle w:val="MdSpace"/>
        <w:spacing w:before="0" w:after="60"/>
      </w:pPr>
    </w:p>
    <w:p>
      <w:pPr>
        <w:pStyle w:val="MdParagraph"/>
      </w:pPr>
      <w:r>
        <w:t xml:space="preserve">Do not reduce HNSW </w:t>
      </w:r>
      <w:r>
        <w:rPr>
          <w:rStyle w:val="MdCode"/>
          <w:u w:val="single"/>
        </w:rPr>
        <w:t xml:space="preserve">ef_search</w:t>
      </w:r>
      <w:r>
        <w:t xml:space="preserve">, candidate count, or context merely because it is faster if accuracy falls without an explicit product decision.</w:t>
      </w:r>
    </w:p>
    <w:p>
      <w:pPr>
        <w:pStyle w:val="MdSpace"/>
        <w:spacing w:before="0" w:after="60"/>
      </w:pPr>
    </w:p>
    <w:p>
      <w:pPr>
        <w:pStyle w:val="Heading1"/>
        <w:pStyle w:val="MdHeading1"/>
      </w:pPr>
      <w:r>
        <w:t xml:space="preserve">PHASE 12 — Deployment and offline reproducibility</w:t>
      </w:r>
    </w:p>
    <w:p>
      <w:pPr>
        <w:pStyle w:val="MdParagraph"/>
      </w:pPr>
      <w:r>
        <w:t xml:space="preserve">Add or repair: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backend/requirements.txt with pinned or bounded compatible versions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backend/.env.example with consistent HHG_ names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scripts/serve.sh or Makefile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scripts/validate_artifacts.py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scripts/benchmark.py</w:t>
      </w:r>
    </w:p>
    <w:p>
      <w:pPr>
        <w:pStyle w:val="MdSpace"/>
        <w:spacing w:before="0" w:after="60"/>
      </w:pPr>
    </w:p>
    <w:p>
      <w:pPr>
        <w:pStyle w:val="MdParagraph"/>
      </w:pPr>
      <w:r>
        <w:t xml:space="preserve">The project must run directly with Python and Uvicorn on a local machine, Kaggle session, VM, or ordinary host. Large indexes must be stored in a versioned artifact directory or downloaded from a versioned artifact release. Keep secrets only in environment variables or a local untracked </w:t>
      </w:r>
      <w:r>
        <w:rPr>
          <w:rStyle w:val="MdCode"/>
          <w:u w:val="single"/>
        </w:rPr>
        <w:t xml:space="preserve">.env</w:t>
      </w:r>
      <w:r>
        <w:t xml:space="preserve"> file.</w:t>
      </w:r>
    </w:p>
    <w:p>
      <w:pPr>
        <w:pStyle w:val="MdSpace"/>
        <w:spacing w:before="0" w:after="60"/>
      </w:pPr>
    </w:p>
    <w:p>
      <w:pPr>
        <w:pStyle w:val="MdParagraph"/>
      </w:pPr>
      <w:r>
        <w:t xml:space="preserve">Required startup behavior: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load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validate manifest and checksums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load ONNX 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load per-language metadata/BM25/HNSW 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warm tokenizer/ONNX/retrieval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expose /health and /ready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fail readiness if any required language is invalid</w:t>
      </w:r>
    </w:p>
    <w:p>
      <w:pPr>
        <w:pStyle w:val="MdSpace"/>
        <w:spacing w:before="0" w:after="60"/>
      </w:pPr>
    </w:p>
    <w:p>
      <w:pPr>
        <w:pStyle w:val="MdParagraph"/>
      </w:pPr>
      <w:r>
        <w:t xml:space="preserve">Start the service directly with one Python process and one Uvicorn worker during benchmarking:</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uvicorn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backend.main:app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8000</w:t>
      </w:r>
    </w:p>
    <w:p>
      <w:pPr>
        <w:pStyle w:val="MdSpace"/>
        <w:spacing w:before="0" w:after="60"/>
      </w:pPr>
    </w:p>
    <w:p>
      <w:pPr>
        <w:pStyle w:val="MdParagraph"/>
      </w:pPr>
      <w:r>
        <w:t xml:space="preserve">For a local or Kaggle run, keep the artifact root outside the source tree when possible and set it explicitly: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HHG_ARTIFACT_DIR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/path/to/versioned/hhg_rag_artifacts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HHG_SLM_ENABLED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HHG_SAARAS_ENABLED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false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uvicorn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backend.main:app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127.0.0.1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8000</w:t>
      </w:r>
    </w:p>
    <w:p>
      <w:pPr>
        <w:pStyle w:val="MdSpace"/>
        <w:spacing w:before="0" w:after="60"/>
      </w:pPr>
    </w:p>
    <w:p>
      <w:pPr>
        <w:pStyle w:val="MdParagraph"/>
      </w:pPr>
      <w:r>
        <w:t xml:space="preserve">For a small VM, start one worker and one measured-best index per language. Scale workers only after measuring resident memory; every worker may load its own copy of the indexes.</w:t>
      </w:r>
    </w:p>
    <w:p>
      <w:pPr>
        <w:pStyle w:val="MdSpace"/>
        <w:spacing w:before="0" w:after="60"/>
      </w:pPr>
    </w:p>
    <w:p>
      <w:pPr>
        <w:pStyle w:val="Heading1"/>
        <w:pStyle w:val="MdHeading1"/>
      </w:pPr>
      <w:r>
        <w:t xml:space="preserve">PHASE 13 — Test suite and release checklist</w:t>
      </w:r>
    </w:p>
    <w:p>
      <w:pPr>
        <w:pStyle w:val="MdParagraph"/>
      </w:pPr>
      <w:r>
        <w:t xml:space="preserve">Add or repair tests for: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import/startup smoke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configuration parsing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 manifest and count alignment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HI/BN/EN metadata routing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cache versioning and cache hit semantics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BM25-only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HNSW-only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RRF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extractive fast answer with SLM disabled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optional generated answer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timeout/fallback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STT disabled/empty/oversized/timeout/valid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 MIME handling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latency tier accounting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same-corpus accuracy mapping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local/offline startup without external providers</w:t>
      </w:r>
    </w:p>
    <w:p>
      <w:pPr>
        <w:pStyle w:val="MdSpace"/>
        <w:spacing w:before="0" w:after="60"/>
      </w:pPr>
    </w:p>
    <w:p>
      <w:pPr>
        <w:pStyle w:val="MdParagraph"/>
      </w:pPr>
      <w:r>
        <w:t xml:space="preserve">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compileall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phase_a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backend/scripts/validate_artifacts.py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reports/artifact_validation.json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backend.evaluation.latency_benchmark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--warmup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backend.evaluation.corpus_eval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bm25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hnsw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rrf</w:t>
      </w:r>
    </w:p>
    <w:p>
      <w:pPr>
        <w:pStyle w:val="MdSpace"/>
        <w:spacing w:before="0" w:after="60"/>
      </w:pPr>
    </w:p>
    <w:p>
      <w:pPr>
        <w:pStyle w:val="MdParagraph"/>
      </w:pPr>
      <w:r>
        <w:t xml:space="preserve">Run directly on the host system: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compileall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phase_a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backend/scripts/validate_artifacts.py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reports/artifact_validation.json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HHG_SLM_ENABLED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HHG_SAARAS_ENABLED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uvicorn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backend.main:app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127.0.0.1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http://127.0.0.1:8000/api/ready</w:t>
      </w:r>
    </w:p>
    <w:p>
      <w:pPr>
        <w:pStyle w:val="MdSpace"/>
        <w:spacing w:before="0" w:after="60"/>
      </w:pPr>
    </w:p>
    <w:p>
      <w:pPr>
        <w:pStyle w:val="MdParagraph"/>
      </w:pPr>
      <w:r>
        <w:t xml:space="preserve">If the repository uses a frontend development server, start it separately with the project’s package manager after installing the locked frontend dependencies. The backend must remain runnable without the frontend.</w:t>
      </w:r>
    </w:p>
    <w:p>
      <w:pPr>
        <w:pStyle w:val="MdSpace"/>
        <w:spacing w:before="0" w:after="60"/>
      </w:pPr>
    </w:p>
    <w:p>
      <w:pPr>
        <w:pStyle w:val="Heading2"/>
        <w:pStyle w:val="MdHeading2"/>
      </w:pPr>
      <w:r>
        <w:t xml:space="preserve">Final release acceptance criteria</w:t>
      </w:r>
    </w:p>
    <w:p>
      <w:pPr>
        <w:pStyle w:val="MdParagraph"/>
      </w:pPr>
      <w:r>
        <w:t xml:space="preserve">The project is ready only when all of the following are true: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Criterion</w:t>
            </w:r>
          </w:p>
        </w:tc>
        <w:tc>
          <w:tcPr>
            <w:tcBorders>
              <w:right w:val="none"/>
            </w:tcBorders>
            <w:tcMar>
              <w:top w:type="dxa" w:w="100"/>
              <w:left w:type="dxa" w:w="120"/>
              <w:bottom w:type="dxa" w:w="100"/>
              <w:right w:type="dxa" w:w="120"/>
            </w:tcMar>
            <w:vAlign w:val="center"/>
          </w:tcPr>
          <w:p>
            <w:pPr>
              <w:pStyle w:val="MdTableHeader"/>
            </w:pPr>
            <w:r>
              <w:t xml:space="preserve">Required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Startup</w:t>
            </w:r>
          </w:p>
        </w:tc>
        <w:tc>
          <w:tcPr>
            <w:tcBorders>
              <w:right w:val="none"/>
            </w:tcBorders>
            <w:tcMar>
              <w:top w:type="dxa" w:w="80"/>
              <w:left w:type="dxa" w:w="120"/>
              <w:bottom w:type="dxa" w:w="80"/>
              <w:right w:type="dxa" w:w="120"/>
            </w:tcMar>
            <w:vAlign w:val="center"/>
          </w:tcPr>
          <w:p>
            <w:pPr>
              <w:pStyle w:val="MdTableCell"/>
            </w:pPr>
            <w:r>
              <w:t xml:space="preserve">Clean import and readiness on a machine with documented dependencies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Artifacts</w:t>
            </w:r>
          </w:p>
        </w:tc>
        <w:tc>
          <w:tcPr>
            <w:tcBorders>
              <w:right w:val="none"/>
            </w:tcBorders>
            <w:tcMar>
              <w:top w:type="dxa" w:w="80"/>
              <w:left w:type="dxa" w:w="120"/>
              <w:bottom w:type="dxa" w:w="80"/>
              <w:right w:type="dxa" w:w="120"/>
            </w:tcMar>
            <w:vAlign w:val="center"/>
          </w:tcPr>
          <w:p>
            <w:pPr>
              <w:pStyle w:val="MdTableCell"/>
            </w:pPr>
            <w:r>
              <w:t xml:space="preserve">HI/BN/EN all load; count/ID/language checks 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Fast answer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generate=false</w:t>
            </w:r>
            <w:r>
              <w:t xml:space="preserve"> returns extractive answer or abstention without SLM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RAG latency</w:t>
            </w:r>
          </w:p>
        </w:tc>
        <w:tc>
          <w:tcPr>
            <w:tcBorders>
              <w:right w:val="none"/>
            </w:tcBorders>
            <w:tcMar>
              <w:top w:type="dxa" w:w="80"/>
              <w:left w:type="dxa" w:w="120"/>
              <w:bottom w:type="dxa" w:w="80"/>
              <w:right w:type="dxa" w:w="120"/>
            </w:tcMar>
            <w:vAlign w:val="center"/>
          </w:tcPr>
          <w:p>
            <w:pPr>
              <w:pStyle w:val="MdTableCell"/>
            </w:pPr>
            <w:r>
              <w:t xml:space="preserve">P50 &lt;= 50 ms and P95 &lt;= 50 ms on the declared target machine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Partial latency</w:t>
            </w:r>
          </w:p>
        </w:tc>
        <w:tc>
          <w:tcPr>
            <w:tcBorders>
              <w:right w:val="none"/>
            </w:tcBorders>
            <w:tcMar>
              <w:top w:type="dxa" w:w="80"/>
              <w:left w:type="dxa" w:w="120"/>
              <w:bottom w:type="dxa" w:w="80"/>
              <w:right w:type="dxa" w:w="120"/>
            </w:tcMar>
            <w:vAlign w:val="center"/>
          </w:tcPr>
          <w:p>
            <w:pPr>
              <w:pStyle w:val="MdTableCell"/>
            </w:pPr>
            <w:r>
              <w:t xml:space="preserve">Fast path and generation reported separately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 latency</w:t>
            </w:r>
          </w:p>
        </w:tc>
        <w:tc>
          <w:tcPr>
            <w:tcBorders>
              <w:right w:val="none"/>
            </w:tcBorders>
            <w:tcMar>
              <w:top w:type="dxa" w:w="80"/>
              <w:left w:type="dxa" w:w="120"/>
              <w:bottom w:type="dxa" w:w="80"/>
              <w:right w:type="dxa" w:w="120"/>
            </w:tcMar>
            <w:vAlign w:val="center"/>
          </w:tcPr>
          <w:p>
            <w:pPr>
              <w:pStyle w:val="MdTableCell"/>
            </w:pPr>
            <w:r>
              <w:t xml:space="preserve">STT, fast path, generation, and end-to-end reported separately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Accuracy</w:t>
            </w:r>
          </w:p>
        </w:tc>
        <w:tc>
          <w:tcPr>
            <w:tcBorders>
              <w:right w:val="none"/>
            </w:tcBorders>
            <w:tcMar>
              <w:top w:type="dxa" w:w="80"/>
              <w:left w:type="dxa" w:w="120"/>
              <w:bottom w:type="dxa" w:w="80"/>
              <w:right w:type="dxa" w:w="120"/>
            </w:tcMar>
            <w:vAlign w:val="center"/>
          </w:tcPr>
          <w:p>
            <w:pPr>
              <w:pStyle w:val="MdTableCell"/>
            </w:pPr>
            <w:r>
              <w:t xml:space="preserve">Same-corpus mapped gold evaluation for HI/BN/EN; no raw-ID mismatch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Grounding</w:t>
            </w:r>
          </w:p>
        </w:tc>
        <w:tc>
          <w:tcPr>
            <w:tcBorders>
              <w:right w:val="none"/>
            </w:tcBorders>
            <w:tcMar>
              <w:top w:type="dxa" w:w="80"/>
              <w:left w:type="dxa" w:w="120"/>
              <w:bottom w:type="dxa" w:w="80"/>
              <w:right w:type="dxa" w:w="120"/>
            </w:tcMar>
            <w:vAlign w:val="center"/>
          </w:tcPr>
          <w:p>
            <w:pPr>
              <w:pStyle w:val="MdTableCell"/>
            </w:pPr>
            <w:r>
              <w:t xml:space="preserve">Unsupported/unsafe/greeting/injection cases behave correctly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STT</w:t>
            </w:r>
          </w:p>
        </w:tc>
        <w:tc>
          <w:tcPr>
            <w:tcBorders>
              <w:right w:val="none"/>
            </w:tcBorders>
            <w:tcMar>
              <w:top w:type="dxa" w:w="80"/>
              <w:left w:type="dxa" w:w="120"/>
              <w:bottom w:type="dxa" w:w="80"/>
              <w:right w:type="dxa" w:w="120"/>
            </w:tcMar>
            <w:vAlign w:val="center"/>
          </w:tcPr>
          <w:p>
            <w:pPr>
              <w:pStyle w:val="MdTableCell"/>
            </w:pPr>
            <w:r>
              <w:t xml:space="preserve">Real provider test when credentials exist; otherwise explicit NOT RUN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Deployment</w:t>
            </w:r>
          </w:p>
        </w:tc>
        <w:tc>
          <w:tcPr>
            <w:tcBorders>
              <w:right w:val="none"/>
            </w:tcBorders>
            <w:tcMar>
              <w:top w:type="dxa" w:w="80"/>
              <w:left w:type="dxa" w:w="120"/>
              <w:bottom w:type="dxa" w:w="80"/>
              <w:right w:type="dxa" w:w="120"/>
            </w:tcMar>
            <w:vAlign w:val="center"/>
          </w:tcPr>
          <w:p>
            <w:pPr>
              <w:pStyle w:val="MdTableCell"/>
            </w:pPr>
            <w:r>
              <w:t xml:space="preserve">Direct Python/Uvicorn offline startup and artifact validation documented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Tests</w:t>
            </w:r>
          </w:p>
        </w:tc>
        <w:tc>
          <w:tcPr>
            <w:tcBorders>
              <w:right w:val="none"/>
            </w:tcBorders>
            <w:tcMar>
              <w:top w:type="dxa" w:w="80"/>
              <w:left w:type="dxa" w:w="120"/>
              <w:bottom w:type="dxa" w:w="80"/>
              <w:right w:type="dxa" w:w="120"/>
            </w:tcMar>
            <w:vAlign w:val="center"/>
          </w:tcPr>
          <w:p>
            <w:pPr>
              <w:pStyle w:val="MdTableCell"/>
            </w:pPr>
            <w:r>
              <w:t xml:space="preserve">No critical test skipped silently; mocks clearly labeled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Reproducibility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Commit, artifact hash, model revision, seed, and commands recorded</w:t>
            </w:r>
          </w:p>
        </w:tc>
      </w:tr>
    </w:tbl>
    <w:p>
      <w:pPr>
        <w:pStyle w:val="Heading2"/>
        <w:pStyle w:val="MdHeading2"/>
      </w:pPr>
      <w:r>
        <w:t xml:space="preserve">Final deliverables required from the coding agent</w:t>
      </w:r>
    </w:p>
    <w:p>
      <w:pPr>
        <w:pStyle w:val="MdParagraph"/>
      </w:pPr>
      <w:r>
        <w:t xml:space="preserve">Produce these files: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reports/baseline_environment.json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reports/artifact_validation.json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reports/accuracy_report.md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reports/latency_report.md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reports/changed_files.md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reports/rollback.md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reports/known_limitations.md</w:t>
      </w:r>
    </w:p>
    <w:p>
      <w:pPr>
        <w:pStyle w:val="MdSpace"/>
        <w:spacing w:before="0" w:after="60"/>
      </w:pPr>
    </w:p>
    <w:p>
      <w:pPr>
        <w:pStyle w:val="MdParagraph"/>
      </w:pPr>
      <w:r>
        <w:t xml:space="preserve">The final response must state:</w:t>
      </w:r>
    </w:p>
    <w:p>
      <w:pPr>
        <w:pStyle w:val="MdSpace"/>
        <w:spacing w:before="0" w:after="60"/>
      </w:pPr>
    </w:p>
    <w:p>
      <w:pPr>
        <w:pStyle w:val="MdListItem"/>
        <w:numPr>
          <w:ilvl w:val="0"/>
          <w:numId w:val="2"/>
        </w:numPr>
      </w:pPr>
      <w:r>
        <w:t xml:space="preserve">Which phases were completed.</w:t>
      </w:r>
    </w:p>
    <w:p>
      <w:pPr>
        <w:pStyle w:val="MdListItem"/>
        <w:numPr>
          <w:ilvl w:val="0"/>
          <w:numId w:val="2"/>
        </w:numPr>
      </w:pPr>
      <w:r>
        <w:t xml:space="preserve">Which files changed and why.</w:t>
      </w:r>
    </w:p>
    <w:p>
      <w:pPr>
        <w:pStyle w:val="MdListItem"/>
        <w:numPr>
          <w:ilvl w:val="0"/>
          <w:numId w:val="2"/>
        </w:numPr>
      </w:pPr>
      <w:r>
        <w:t xml:space="preserve">Which tests ran and their exact result.</w:t>
      </w:r>
    </w:p>
    <w:p>
      <w:pPr>
        <w:pStyle w:val="MdListItem"/>
        <w:numPr>
          <w:ilvl w:val="0"/>
          <w:numId w:val="2"/>
        </w:numPr>
      </w:pPr>
      <w:r>
        <w:t xml:space="preserve">Which tests were </w:t>
      </w:r>
      <w:r>
        <w:rPr>
          <w:rStyle w:val="MdCode"/>
          <w:u w:val="single"/>
        </w:rPr>
        <w:t xml:space="preserve">NOT RUN</w:t>
      </w:r>
      <w:r>
        <w:t xml:space="preserve"> and why.</w:t>
      </w:r>
    </w:p>
    <w:p>
      <w:pPr>
        <w:pStyle w:val="MdListItem"/>
        <w:numPr>
          <w:ilvl w:val="0"/>
          <w:numId w:val="2"/>
        </w:numPr>
      </w:pPr>
      <w:r>
        <w:t xml:space="preserve">Before/after latency numbers with hardware and artifact hash.</w:t>
      </w:r>
    </w:p>
    <w:p>
      <w:pPr>
        <w:pStyle w:val="MdListItem"/>
        <w:numPr>
          <w:ilvl w:val="0"/>
          <w:numId w:val="2"/>
        </w:numPr>
      </w:pPr>
      <w:r>
        <w:t xml:space="preserve">Before/after accuracy numbers with query counts and ID mapping coverage.</w:t>
      </w:r>
    </w:p>
    <w:p>
      <w:pPr>
        <w:pStyle w:val="MdListItem"/>
        <w:numPr>
          <w:ilvl w:val="0"/>
          <w:numId w:val="2"/>
        </w:numPr>
      </w:pPr>
      <w:r>
        <w:t xml:space="preserve">Any remaining risks.</w:t>
      </w:r>
    </w:p>
    <w:p>
      <w:pPr>
        <w:pStyle w:val="MdListItem"/>
        <w:numPr>
          <w:ilvl w:val="0"/>
          <w:numId w:val="2"/>
        </w:numPr>
      </w:pPr>
      <w:r>
        <w:t xml:space="preserve">Exact commands to run the repaired project.</w:t>
      </w:r>
    </w:p>
    <w:p>
      <w:pPr>
        <w:pStyle w:val="MdSpace"/>
        <w:spacing w:before="0" w:after="60"/>
      </w:pPr>
    </w:p>
    <w:p>
      <w:pPr>
        <w:pStyle w:val="MdParagraph"/>
      </w:pPr>
      <w:r>
        <w:t xml:space="preserve">Never claim “error-free,” “production-ready,” or “same latency as the reference” unless the release acceptance criteria above are actually met on the declared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2026-08-19T19:31:06.617Z</dcterms:created>
  <dcterms:modified xsi:type="dcterms:W3CDTF">2026-08-19T19:31:06.617Z</dcterms:modified>
</cp:coreProperties>
</file>

<file path=docProps/custom.xml><?xml version="1.0" encoding="utf-8"?>
<Properties xmlns="http://schemas.openxmlformats.org/officeDocument/2006/custom-properties" xmlns:vt="http://schemas.openxmlformats.org/officeDocument/2006/docPropsVTypes"/>
</file>