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F5496"/>
          <w:sz w:val="40"/>
        </w:rPr>
        <w:t>TUSHAR ZAWARE</w:t>
      </w:r>
    </w:p>
    <w:p>
      <w:pPr>
        <w:spacing w:after="160"/>
        <w:jc w:val="center"/>
      </w:pPr>
      <w:r>
        <w:rPr>
          <w:rFonts w:ascii="Calibri" w:hAnsi="Calibri"/>
          <w:sz w:val="20"/>
        </w:rPr>
        <w:t>London, UK  |  +44 7448 016084  |  tusharzaware1@gmail.com</w:t>
      </w:r>
    </w:p>
    <w:p>
      <w:pPr>
        <w:spacing w:before="200" w:after="80"/>
        <w:pBdr>
          <w:bottom w:val="single" w:sz="6" w:space="1" w:color="2F5496"/>
        </w:pBdr>
      </w:pPr>
      <w:r>
        <w:rPr>
          <w:rFonts w:ascii="Calibri" w:hAnsi="Calibri"/>
          <w:b/>
          <w:color w:val="2F5496"/>
          <w:sz w:val="22"/>
        </w:rPr>
        <w:t>PROFILE</w:t>
      </w:r>
    </w:p>
    <w:p>
      <w:pPr>
        <w:spacing w:after="80"/>
      </w:pPr>
      <w:r>
        <w:rPr>
          <w:rFonts w:ascii="Calibri" w:hAnsi="Calibri"/>
          <w:sz w:val="20"/>
        </w:rPr>
        <w:t>Senior Snowflake and Cloud Data Platform Engineer with 15+ years of experience, from Teradata DBA to leading modern data platform engineering and Snowflake AI Data Cloud implementations. Proven expertise in building greenfield Snowflake platforms, designing scalable Azure infrastructure, and implementing CI/CD and Infrastructure as Code (Terraform/Bicep). Strong experience in automating RBAC/SSO, delivering secure enterprise-grade architectures, and enabling AI-driven data solutions using Snowflake Cortex. Skilled in large-scale data migrations, performance optimisation, and cost-efficient platform design across banking, retail, and healthcare.</w:t>
      </w:r>
    </w:p>
    <w:p>
      <w:pPr>
        <w:spacing w:before="200" w:after="80"/>
        <w:pBdr>
          <w:bottom w:val="single" w:sz="6" w:space="1" w:color="2F5496"/>
        </w:pBdr>
      </w:pPr>
      <w:r>
        <w:rPr>
          <w:rFonts w:ascii="Calibri" w:hAnsi="Calibri"/>
          <w:b/>
          <w:color w:val="2F5496"/>
          <w:sz w:val="22"/>
        </w:rPr>
        <w:t>KEY SKILLS</w:t>
      </w:r>
    </w:p>
    <w:p>
      <w:pPr>
        <w:spacing w:after="40"/>
      </w:pPr>
      <w:r>
        <w:rPr>
          <w:rFonts w:ascii="Calibri" w:hAnsi="Calibri"/>
          <w:b/>
          <w:sz w:val="20"/>
        </w:rPr>
        <w:t xml:space="preserve">Cloud &amp; Data Platforms: </w:t>
      </w:r>
      <w:r>
        <w:rPr>
          <w:rFonts w:ascii="Calibri" w:hAnsi="Calibri"/>
          <w:sz w:val="20"/>
        </w:rPr>
        <w:t>Azure, AWS, GCP, Snowflake, BigQuery, Redshift, Teradata</w:t>
      </w:r>
    </w:p>
    <w:p>
      <w:pPr>
        <w:spacing w:after="40"/>
      </w:pPr>
      <w:r>
        <w:rPr>
          <w:rFonts w:ascii="Calibri" w:hAnsi="Calibri"/>
          <w:b/>
          <w:sz w:val="20"/>
        </w:rPr>
        <w:t xml:space="preserve">AI / GenAI: </w:t>
      </w:r>
      <w:r>
        <w:rPr>
          <w:rFonts w:ascii="Calibri" w:hAnsi="Calibri"/>
          <w:sz w:val="20"/>
        </w:rPr>
        <w:t>Snowflake Cortex AI, LLM functions, text generation, summarisation</w:t>
      </w:r>
    </w:p>
    <w:p>
      <w:pPr>
        <w:spacing w:after="40"/>
      </w:pPr>
      <w:r>
        <w:rPr>
          <w:rFonts w:ascii="Calibri" w:hAnsi="Calibri"/>
          <w:b/>
          <w:sz w:val="20"/>
        </w:rPr>
        <w:t xml:space="preserve">Infrastructure &amp; DevOps: </w:t>
      </w:r>
      <w:r>
        <w:rPr>
          <w:rFonts w:ascii="Calibri" w:hAnsi="Calibri"/>
          <w:sz w:val="20"/>
        </w:rPr>
        <w:t>Terraform, Bicep, Git, Azure DevOps, GitHub Actions, CodePipeline</w:t>
      </w:r>
    </w:p>
    <w:p>
      <w:pPr>
        <w:spacing w:after="40"/>
      </w:pPr>
      <w:r>
        <w:rPr>
          <w:rFonts w:ascii="Calibri" w:hAnsi="Calibri"/>
          <w:b/>
          <w:sz w:val="20"/>
        </w:rPr>
        <w:t xml:space="preserve">Data Engineering &amp; ETL: </w:t>
      </w:r>
      <w:r>
        <w:rPr>
          <w:rFonts w:ascii="Calibri" w:hAnsi="Calibri"/>
          <w:sz w:val="20"/>
        </w:rPr>
        <w:t>Matillion, Apache Airflow, Informatica, DataStage, Azure Data Factory</w:t>
      </w:r>
    </w:p>
    <w:p>
      <w:pPr>
        <w:spacing w:after="40"/>
      </w:pPr>
      <w:r>
        <w:rPr>
          <w:rFonts w:ascii="Calibri" w:hAnsi="Calibri"/>
          <w:b/>
          <w:sz w:val="20"/>
        </w:rPr>
        <w:t xml:space="preserve">Programming: </w:t>
      </w:r>
      <w:r>
        <w:rPr>
          <w:rFonts w:ascii="Calibri" w:hAnsi="Calibri"/>
          <w:sz w:val="20"/>
        </w:rPr>
        <w:t>Python, SQL, Shell scripting, PySpark, Spark SQL</w:t>
      </w:r>
    </w:p>
    <w:p>
      <w:pPr>
        <w:spacing w:after="40"/>
      </w:pPr>
      <w:r>
        <w:rPr>
          <w:rFonts w:ascii="Calibri" w:hAnsi="Calibri"/>
          <w:b/>
          <w:sz w:val="20"/>
        </w:rPr>
        <w:t xml:space="preserve">Database &amp; Data Ops: </w:t>
      </w:r>
      <w:r>
        <w:rPr>
          <w:rFonts w:ascii="Calibri" w:hAnsi="Calibri"/>
          <w:sz w:val="20"/>
        </w:rPr>
        <w:t>Snowflake RBAC, performance tuning, data sharing, Flyway, Liquibase, SchemaChange</w:t>
      </w:r>
    </w:p>
    <w:p>
      <w:pPr>
        <w:spacing w:after="40"/>
      </w:pPr>
      <w:r>
        <w:rPr>
          <w:rFonts w:ascii="Calibri" w:hAnsi="Calibri"/>
          <w:b/>
          <w:sz w:val="20"/>
        </w:rPr>
        <w:t xml:space="preserve">BI &amp; Visualisation: </w:t>
      </w:r>
      <w:r>
        <w:rPr>
          <w:rFonts w:ascii="Calibri" w:hAnsi="Calibri"/>
          <w:sz w:val="20"/>
        </w:rPr>
        <w:t>Power BI</w:t>
      </w:r>
    </w:p>
    <w:p>
      <w:pPr>
        <w:spacing w:before="200" w:after="80"/>
        <w:pBdr>
          <w:bottom w:val="single" w:sz="6" w:space="1" w:color="2F5496"/>
        </w:pBdr>
      </w:pPr>
      <w:r>
        <w:rPr>
          <w:rFonts w:ascii="Calibri" w:hAnsi="Calibri"/>
          <w:b/>
          <w:color w:val="2F5496"/>
          <w:sz w:val="22"/>
        </w:rPr>
        <w:t>CAREER HISTORY</w:t>
      </w:r>
    </w:p>
    <w:tbl>
      <w:tblPr>
        <w:tblW w:type="auto" w:w="0"/>
        <w:tblLayout w:type="fixed"/>
        <w:tblLook w:firstColumn="1" w:firstRow="1" w:lastColumn="0" w:lastRow="0" w:noHBand="0" w:noVBand="1" w:val="04A0"/>
      </w:tblPr>
      <w:tblGrid>
        <w:gridCol w:w="1814"/>
        <w:gridCol w:w="8107"/>
      </w:tblGrid>
      <w:tr>
        <w:tc>
          <w:tcPr>
            <w:tcW w:type="dxa" w:w="4986"/>
          </w:tcPr>
          <w:p>
            <w:pPr>
              <w:spacing w:after="0" w:before="0"/>
            </w:pPr>
            <w:r>
              <w:rPr>
                <w:rFonts w:ascii="Calibri" w:hAnsi="Calibri"/>
                <w:b/>
                <w:sz w:val="20"/>
              </w:rPr>
              <w:t>Aug 2022</w:t>
              <w:br/>
              <w:t>– Present</w:t>
            </w:r>
          </w:p>
        </w:tc>
        <w:tc>
          <w:tcPr>
            <w:tcW w:type="dxa" w:w="4986"/>
          </w:tcPr>
          <w:p>
            <w:pPr>
              <w:spacing w:after="0" w:before="0"/>
            </w:pPr>
            <w:r>
              <w:rPr>
                <w:rFonts w:ascii="Calibri" w:hAnsi="Calibri"/>
                <w:b/>
                <w:sz w:val="21"/>
              </w:rPr>
              <w:t>Snowflake &amp; Cloud Data Platform Engineer</w:t>
            </w:r>
            <w:r>
              <w:br/>
            </w:r>
            <w:r>
              <w:rPr>
                <w:rFonts w:ascii="Calibri" w:hAnsi="Calibri"/>
                <w:i/>
                <w:sz w:val="20"/>
              </w:rPr>
              <w:t>NTT DATA UK, London</w:t>
            </w:r>
          </w:p>
        </w:tc>
      </w:tr>
    </w:tbl>
    <w:p>
      <w:pPr>
        <w:pStyle w:val="ListBullet"/>
        <w:spacing w:after="40"/>
        <w:ind w:left="425"/>
      </w:pPr>
      <w:r>
        <w:rPr>
          <w:rFonts w:ascii="Calibri" w:hAnsi="Calibri"/>
          <w:sz w:val="20"/>
        </w:rPr>
        <w:t>Automated Snowflake resource provisioning and lifecycle management using Terraform, including end-to-end RBAC implementation and reusable IaC modules.</w:t>
      </w:r>
    </w:p>
    <w:p>
      <w:pPr>
        <w:pStyle w:val="ListBullet"/>
        <w:spacing w:after="40"/>
        <w:ind w:left="425"/>
      </w:pPr>
      <w:r>
        <w:rPr>
          <w:rFonts w:ascii="Calibri" w:hAnsi="Calibri"/>
          <w:sz w:val="20"/>
        </w:rPr>
        <w:t>Led greenfield Snowflake platform setup, architecture design, and large-scale migration projects across Azure environments.</w:t>
      </w:r>
    </w:p>
    <w:p>
      <w:pPr>
        <w:pStyle w:val="ListBullet"/>
        <w:spacing w:after="40"/>
        <w:ind w:left="425"/>
      </w:pPr>
      <w:r>
        <w:rPr>
          <w:rFonts w:ascii="Calibri" w:hAnsi="Calibri"/>
          <w:sz w:val="20"/>
        </w:rPr>
        <w:t>Designed and maintained CI/CD pipelines using GitHub Actions, Azure DevOps, and Snowflake Database Change Management (DCM), Flyway, and SchemaChange.</w:t>
      </w:r>
    </w:p>
    <w:p>
      <w:pPr>
        <w:pStyle w:val="ListBullet"/>
        <w:spacing w:after="40"/>
        <w:ind w:left="425"/>
      </w:pPr>
      <w:r>
        <w:rPr>
          <w:rFonts w:ascii="Calibri" w:hAnsi="Calibri"/>
          <w:sz w:val="20"/>
        </w:rPr>
        <w:t>Architected and delivered Snowflake Cortex services for semantic search over enterprise document datasets.</w:t>
      </w:r>
    </w:p>
    <w:p>
      <w:pPr>
        <w:pStyle w:val="ListBullet"/>
        <w:spacing w:after="40"/>
        <w:ind w:left="425"/>
      </w:pPr>
      <w:r>
        <w:rPr>
          <w:rFonts w:ascii="Calibri" w:hAnsi="Calibri"/>
          <w:sz w:val="20"/>
        </w:rPr>
        <w:t>Configured SSO integration between Snowflake and Okta using SAML 2.0; implemented RBAC, data masking, encryption, and network policies.</w:t>
      </w:r>
    </w:p>
    <w:p>
      <w:pPr>
        <w:pStyle w:val="ListBullet"/>
        <w:spacing w:after="40"/>
        <w:ind w:left="425"/>
      </w:pPr>
      <w:r>
        <w:rPr>
          <w:rFonts w:ascii="Calibri" w:hAnsi="Calibri"/>
          <w:sz w:val="20"/>
        </w:rPr>
        <w:t>Maximised Snowflake performance and cost efficiency through clustering, materialised views, and query optimisation; developed a FinOps framework using Streamlit.</w:t>
      </w:r>
    </w:p>
    <w:p>
      <w:pPr>
        <w:pStyle w:val="ListBullet"/>
        <w:spacing w:after="40"/>
        <w:ind w:left="425"/>
      </w:pPr>
      <w:r>
        <w:rPr>
          <w:rFonts w:ascii="Calibri" w:hAnsi="Calibri"/>
          <w:sz w:val="20"/>
        </w:rPr>
        <w:t>Built event-driven streaming pipelines using Snowflake streams, tasks, and Snowpipe; integrated Snowflake with Power BI and Azure Data Factory.</w:t>
      </w:r>
    </w:p>
    <w:p>
      <w:pPr>
        <w:pStyle w:val="ListBullet"/>
        <w:spacing w:after="40"/>
        <w:ind w:left="425"/>
      </w:pPr>
      <w:r>
        <w:rPr>
          <w:rFonts w:ascii="Calibri" w:hAnsi="Calibri"/>
          <w:sz w:val="20"/>
        </w:rPr>
        <w:t>Designed Azure hub-and-spoke architecture using Bicep templates; configured Databricks clusters, Unity Catalog, Delta Lake, and PySpark workloads.</w:t>
      </w:r>
    </w:p>
    <w:p>
      <w:pPr>
        <w:pStyle w:val="ListBullet"/>
        <w:spacing w:after="40"/>
        <w:ind w:left="425"/>
      </w:pPr>
      <w:r>
        <w:rPr>
          <w:rFonts w:ascii="Calibri" w:hAnsi="Calibri"/>
          <w:sz w:val="20"/>
        </w:rPr>
        <w:t>Established governance, audit logging, disaster recovery, and security controls aligned with enterprise compliance standards.</w:t>
      </w:r>
    </w:p>
    <w:p>
      <w:pPr>
        <w:pStyle w:val="ListBullet"/>
        <w:spacing w:after="40"/>
        <w:ind w:left="425"/>
      </w:pPr>
      <w:r>
        <w:rPr>
          <w:rFonts w:ascii="Calibri" w:hAnsi="Calibri"/>
          <w:sz w:val="20"/>
        </w:rPr>
        <w:t>Engineered a BigQuery-to-Snowflake migration accelerator using Python and Snowflake stored procedures.</w:t>
      </w:r>
    </w:p>
    <w:p>
      <w:pPr>
        <w:spacing w:after="80"/>
      </w:pPr>
    </w:p>
    <w:tbl>
      <w:tblPr>
        <w:tblW w:type="auto" w:w="0"/>
        <w:tblLayout w:type="fixed"/>
        <w:tblLook w:firstColumn="1" w:firstRow="1" w:lastColumn="0" w:lastRow="0" w:noHBand="0" w:noVBand="1" w:val="04A0"/>
      </w:tblPr>
      <w:tblGrid>
        <w:gridCol w:w="1814"/>
        <w:gridCol w:w="8107"/>
      </w:tblGrid>
      <w:tr>
        <w:tc>
          <w:tcPr>
            <w:tcW w:type="dxa" w:w="4986"/>
          </w:tcPr>
          <w:p>
            <w:pPr>
              <w:spacing w:after="0" w:before="0"/>
            </w:pPr>
            <w:r>
              <w:rPr>
                <w:rFonts w:ascii="Calibri" w:hAnsi="Calibri"/>
                <w:b/>
                <w:sz w:val="20"/>
              </w:rPr>
              <w:t>Jul 2021</w:t>
              <w:br/>
              <w:t>– Jul 2022</w:t>
            </w:r>
          </w:p>
        </w:tc>
        <w:tc>
          <w:tcPr>
            <w:tcW w:type="dxa" w:w="4986"/>
          </w:tcPr>
          <w:p>
            <w:pPr>
              <w:spacing w:after="0" w:before="0"/>
            </w:pPr>
            <w:r>
              <w:rPr>
                <w:rFonts w:ascii="Calibri" w:hAnsi="Calibri"/>
                <w:b/>
                <w:sz w:val="21"/>
              </w:rPr>
              <w:t>Snowflake Developer</w:t>
            </w:r>
            <w:r>
              <w:br/>
            </w:r>
            <w:r>
              <w:rPr>
                <w:rFonts w:ascii="Calibri" w:hAnsi="Calibri"/>
                <w:i/>
                <w:sz w:val="20"/>
              </w:rPr>
              <w:t>Mistral Data</w:t>
            </w:r>
          </w:p>
        </w:tc>
      </w:tr>
    </w:tbl>
    <w:p>
      <w:pPr>
        <w:pStyle w:val="ListBullet"/>
        <w:spacing w:after="40"/>
        <w:ind w:left="425"/>
      </w:pPr>
      <w:r>
        <w:rPr>
          <w:rFonts w:ascii="Calibri" w:hAnsi="Calibri"/>
          <w:sz w:val="20"/>
        </w:rPr>
        <w:t>Executed SAP-to-Snowflake migrations using Matillion ETL with robust validation and error handling.</w:t>
      </w:r>
    </w:p>
    <w:p>
      <w:pPr>
        <w:pStyle w:val="ListBullet"/>
        <w:spacing w:after="40"/>
        <w:ind w:left="425"/>
      </w:pPr>
      <w:r>
        <w:rPr>
          <w:rFonts w:ascii="Calibri" w:hAnsi="Calibri"/>
          <w:sz w:val="20"/>
        </w:rPr>
        <w:t>Designed scalable Snowflake solutions including multi-cluster warehouses, secure views, and data sharing.</w:t>
      </w:r>
    </w:p>
    <w:p>
      <w:pPr>
        <w:pStyle w:val="ListBullet"/>
        <w:spacing w:after="40"/>
        <w:ind w:left="425"/>
      </w:pPr>
      <w:r>
        <w:rPr>
          <w:rFonts w:ascii="Calibri" w:hAnsi="Calibri"/>
          <w:sz w:val="20"/>
        </w:rPr>
        <w:t>Implemented data masking, encryption, and RBAC controls to strengthen data privacy and access management.</w:t>
      </w:r>
    </w:p>
    <w:p>
      <w:pPr>
        <w:pStyle w:val="ListBullet"/>
        <w:spacing w:after="40"/>
        <w:ind w:left="425"/>
      </w:pPr>
      <w:r>
        <w:rPr>
          <w:rFonts w:ascii="Calibri" w:hAnsi="Calibri"/>
          <w:sz w:val="20"/>
        </w:rPr>
        <w:t>Administered Matillion instances on AWS including setup, upgrades, and Git integration.</w:t>
      </w:r>
    </w:p>
    <w:p>
      <w:pPr>
        <w:pStyle w:val="ListBullet"/>
        <w:spacing w:after="40"/>
        <w:ind w:left="425"/>
      </w:pPr>
      <w:r>
        <w:rPr>
          <w:rFonts w:ascii="Calibri" w:hAnsi="Calibri"/>
          <w:sz w:val="20"/>
        </w:rPr>
        <w:t>Developed Power BI and Excel reports from Snowflake with query profiling and performance tuning.</w:t>
      </w:r>
    </w:p>
    <w:p>
      <w:pPr>
        <w:spacing w:after="80"/>
      </w:pPr>
    </w:p>
    <w:tbl>
      <w:tblPr>
        <w:tblW w:type="auto" w:w="0"/>
        <w:tblLayout w:type="fixed"/>
        <w:tblLook w:firstColumn="1" w:firstRow="1" w:lastColumn="0" w:lastRow="0" w:noHBand="0" w:noVBand="1" w:val="04A0"/>
      </w:tblPr>
      <w:tblGrid>
        <w:gridCol w:w="1814"/>
        <w:gridCol w:w="8107"/>
      </w:tblGrid>
      <w:tr>
        <w:tc>
          <w:tcPr>
            <w:tcW w:type="dxa" w:w="4986"/>
          </w:tcPr>
          <w:p>
            <w:pPr>
              <w:spacing w:after="0" w:before="0"/>
            </w:pPr>
            <w:r>
              <w:rPr>
                <w:rFonts w:ascii="Calibri" w:hAnsi="Calibri"/>
                <w:b/>
                <w:sz w:val="20"/>
              </w:rPr>
              <w:t>Jun 2015</w:t>
              <w:br/>
              <w:t>– Jul 2021</w:t>
            </w:r>
          </w:p>
        </w:tc>
        <w:tc>
          <w:tcPr>
            <w:tcW w:type="dxa" w:w="4986"/>
          </w:tcPr>
          <w:p>
            <w:pPr>
              <w:spacing w:after="0" w:before="0"/>
            </w:pPr>
            <w:r>
              <w:rPr>
                <w:rFonts w:ascii="Calibri" w:hAnsi="Calibri"/>
                <w:b/>
                <w:sz w:val="21"/>
              </w:rPr>
              <w:t>Cloud Data Engineer</w:t>
            </w:r>
            <w:r>
              <w:br/>
            </w:r>
            <w:r>
              <w:rPr>
                <w:rFonts w:ascii="Calibri" w:hAnsi="Calibri"/>
                <w:i/>
                <w:sz w:val="20"/>
              </w:rPr>
              <w:t>Accenture</w:t>
            </w:r>
          </w:p>
        </w:tc>
      </w:tr>
    </w:tbl>
    <w:p>
      <w:pPr>
        <w:pStyle w:val="ListBullet"/>
        <w:spacing w:after="40"/>
        <w:ind w:left="425"/>
      </w:pPr>
      <w:r>
        <w:rPr>
          <w:rFonts w:ascii="Calibri" w:hAnsi="Calibri"/>
          <w:sz w:val="20"/>
        </w:rPr>
        <w:t>Delivered Teradata-to-Snowflake migrations using Informatica, Snowpipe, and SnowSQL.</w:t>
      </w:r>
    </w:p>
    <w:p>
      <w:pPr>
        <w:pStyle w:val="ListBullet"/>
        <w:spacing w:after="40"/>
        <w:ind w:left="425"/>
      </w:pPr>
      <w:r>
        <w:rPr>
          <w:rFonts w:ascii="Calibri" w:hAnsi="Calibri"/>
          <w:sz w:val="20"/>
        </w:rPr>
        <w:t>Managed Snowflake scheduling tasks, resource monitors, and warehouse capacity optimisation.</w:t>
      </w:r>
    </w:p>
    <w:p>
      <w:pPr>
        <w:pStyle w:val="ListBullet"/>
        <w:spacing w:after="40"/>
        <w:ind w:left="425"/>
      </w:pPr>
      <w:r>
        <w:rPr>
          <w:rFonts w:ascii="Calibri" w:hAnsi="Calibri"/>
          <w:sz w:val="20"/>
        </w:rPr>
        <w:t>Administered AWS environments including IAM configuration and cloud security controls.</w:t>
      </w:r>
    </w:p>
    <w:p>
      <w:pPr>
        <w:pStyle w:val="ListBullet"/>
        <w:spacing w:after="40"/>
        <w:ind w:left="425"/>
      </w:pPr>
      <w:r>
        <w:rPr>
          <w:rFonts w:ascii="Calibri" w:hAnsi="Calibri"/>
          <w:sz w:val="20"/>
        </w:rPr>
        <w:t>Maintained project documentation in Confluence and applied Snowflake best practices for performance.</w:t>
      </w:r>
    </w:p>
    <w:p>
      <w:pPr>
        <w:spacing w:after="80"/>
      </w:pPr>
    </w:p>
    <w:tbl>
      <w:tblPr>
        <w:tblW w:type="auto" w:w="0"/>
        <w:tblLayout w:type="fixed"/>
        <w:tblLook w:firstColumn="1" w:firstRow="1" w:lastColumn="0" w:lastRow="0" w:noHBand="0" w:noVBand="1" w:val="04A0"/>
      </w:tblPr>
      <w:tblGrid>
        <w:gridCol w:w="1814"/>
        <w:gridCol w:w="8107"/>
      </w:tblGrid>
      <w:tr>
        <w:tc>
          <w:tcPr>
            <w:tcW w:type="dxa" w:w="4986"/>
          </w:tcPr>
          <w:p>
            <w:pPr>
              <w:spacing w:after="0" w:before="0"/>
            </w:pPr>
            <w:r>
              <w:rPr>
                <w:rFonts w:ascii="Calibri" w:hAnsi="Calibri"/>
                <w:b/>
                <w:sz w:val="20"/>
              </w:rPr>
              <w:t>Mar 2013</w:t>
              <w:br/>
              <w:t>– Jun 2015</w:t>
            </w:r>
          </w:p>
        </w:tc>
        <w:tc>
          <w:tcPr>
            <w:tcW w:type="dxa" w:w="4986"/>
          </w:tcPr>
          <w:p>
            <w:pPr>
              <w:spacing w:after="0" w:before="0"/>
            </w:pPr>
            <w:r>
              <w:rPr>
                <w:rFonts w:ascii="Calibri" w:hAnsi="Calibri"/>
                <w:b/>
                <w:sz w:val="21"/>
              </w:rPr>
              <w:t>Teradata DBA</w:t>
            </w:r>
            <w:r>
              <w:br/>
            </w:r>
            <w:r>
              <w:rPr>
                <w:rFonts w:ascii="Calibri" w:hAnsi="Calibri"/>
                <w:i/>
                <w:sz w:val="20"/>
              </w:rPr>
              <w:t>Teradata India Pvt. Ltd</w:t>
            </w:r>
          </w:p>
        </w:tc>
      </w:tr>
    </w:tbl>
    <w:p>
      <w:pPr>
        <w:pStyle w:val="ListBullet"/>
        <w:spacing w:after="40"/>
        <w:ind w:left="425"/>
      </w:pPr>
      <w:r>
        <w:rPr>
          <w:rFonts w:ascii="Calibri" w:hAnsi="Calibri"/>
          <w:sz w:val="20"/>
        </w:rPr>
        <w:t>Supported Teradata database administration, performance tuning, and production operations.</w:t>
      </w:r>
    </w:p>
    <w:p>
      <w:pPr>
        <w:pStyle w:val="ListBullet"/>
        <w:spacing w:after="40"/>
        <w:ind w:left="425"/>
      </w:pPr>
      <w:r>
        <w:rPr>
          <w:rFonts w:ascii="Calibri" w:hAnsi="Calibri"/>
          <w:sz w:val="20"/>
        </w:rPr>
        <w:t>Managed backup, recovery, and system monitoring for enterprise data warehouse environments.</w:t>
      </w:r>
    </w:p>
    <w:p>
      <w:pPr>
        <w:spacing w:after="80"/>
      </w:pPr>
    </w:p>
    <w:tbl>
      <w:tblPr>
        <w:tblW w:type="auto" w:w="0"/>
        <w:tblLayout w:type="fixed"/>
        <w:tblLook w:firstColumn="1" w:firstRow="1" w:lastColumn="0" w:lastRow="0" w:noHBand="0" w:noVBand="1" w:val="04A0"/>
      </w:tblPr>
      <w:tblGrid>
        <w:gridCol w:w="1814"/>
        <w:gridCol w:w="8107"/>
      </w:tblGrid>
      <w:tr>
        <w:tc>
          <w:tcPr>
            <w:tcW w:type="dxa" w:w="4986"/>
          </w:tcPr>
          <w:p>
            <w:pPr>
              <w:spacing w:after="0" w:before="0"/>
            </w:pPr>
            <w:r>
              <w:rPr>
                <w:rFonts w:ascii="Calibri" w:hAnsi="Calibri"/>
                <w:b/>
                <w:sz w:val="20"/>
              </w:rPr>
              <w:t>Dec 2010</w:t>
              <w:br/>
              <w:t>– Mar 2013</w:t>
            </w:r>
          </w:p>
        </w:tc>
        <w:tc>
          <w:tcPr>
            <w:tcW w:type="dxa" w:w="4986"/>
          </w:tcPr>
          <w:p>
            <w:pPr>
              <w:spacing w:after="0" w:before="0"/>
            </w:pPr>
            <w:r>
              <w:rPr>
                <w:rFonts w:ascii="Calibri" w:hAnsi="Calibri"/>
                <w:b/>
                <w:sz w:val="21"/>
              </w:rPr>
              <w:t>Software Engineer</w:t>
            </w:r>
            <w:r>
              <w:br/>
            </w:r>
            <w:r>
              <w:rPr>
                <w:rFonts w:ascii="Calibri" w:hAnsi="Calibri"/>
                <w:i/>
                <w:sz w:val="20"/>
              </w:rPr>
              <w:t>Wipro Technologies</w:t>
            </w:r>
          </w:p>
        </w:tc>
      </w:tr>
    </w:tbl>
    <w:p>
      <w:pPr>
        <w:pStyle w:val="ListBullet"/>
        <w:spacing w:after="40"/>
        <w:ind w:left="425"/>
      </w:pPr>
      <w:r>
        <w:rPr>
          <w:rFonts w:ascii="Calibri" w:hAnsi="Calibri"/>
          <w:sz w:val="20"/>
        </w:rPr>
        <w:t>Managed a 34TB Teradata production environment with 24×7 support, performance tuning (DBQL, statistics, PDCR), and P1 incident coordination.</w:t>
      </w:r>
    </w:p>
    <w:p>
      <w:pPr>
        <w:pStyle w:val="ListBullet"/>
        <w:spacing w:after="40"/>
        <w:ind w:left="425"/>
      </w:pPr>
      <w:r>
        <w:rPr>
          <w:rFonts w:ascii="Calibri" w:hAnsi="Calibri"/>
          <w:sz w:val="20"/>
        </w:rPr>
        <w:t>Developed ETL processes using Informatica PowerCenter; monitored workloads via Teradata Viewpoint.</w:t>
      </w:r>
    </w:p>
    <w:p>
      <w:pPr>
        <w:pStyle w:val="ListBullet"/>
        <w:spacing w:after="40"/>
        <w:ind w:left="425"/>
      </w:pPr>
      <w:r>
        <w:rPr>
          <w:rFonts w:ascii="Calibri" w:hAnsi="Calibri"/>
          <w:sz w:val="20"/>
        </w:rPr>
        <w:t>Delivered Teradata and ETL development using Agile methodology across requirements, design, testing, and implementation.</w:t>
      </w:r>
    </w:p>
    <w:p>
      <w:pPr>
        <w:spacing w:after="80"/>
      </w:pPr>
    </w:p>
    <w:p>
      <w:pPr>
        <w:spacing w:before="200" w:after="80"/>
        <w:pBdr>
          <w:bottom w:val="single" w:sz="6" w:space="1" w:color="2F5496"/>
        </w:pBdr>
      </w:pPr>
      <w:r>
        <w:rPr>
          <w:rFonts w:ascii="Calibri" w:hAnsi="Calibri"/>
          <w:b/>
          <w:color w:val="2F5496"/>
          <w:sz w:val="22"/>
        </w:rPr>
        <w:t>EDUCATION</w:t>
      </w:r>
    </w:p>
    <w:tbl>
      <w:tblPr>
        <w:tblW w:type="auto" w:w="0"/>
        <w:tblLook w:firstColumn="1" w:firstRow="1" w:lastColumn="0" w:lastRow="0" w:noHBand="0" w:noVBand="1" w:val="04A0"/>
      </w:tblPr>
      <w:tblGrid>
        <w:gridCol w:w="1814"/>
        <w:gridCol w:w="8107"/>
      </w:tblGrid>
      <w:tr>
        <w:tc>
          <w:tcPr>
            <w:tcW w:type="dxa" w:w="4986"/>
          </w:tcPr>
          <w:p>
            <w:r>
              <w:rPr>
                <w:rFonts w:ascii="Calibri" w:hAnsi="Calibri"/>
                <w:b/>
                <w:sz w:val="20"/>
              </w:rPr>
              <w:t>2010</w:t>
            </w:r>
          </w:p>
        </w:tc>
        <w:tc>
          <w:tcPr>
            <w:tcW w:type="dxa" w:w="4986"/>
          </w:tcPr>
          <w:p>
            <w:r>
              <w:rPr>
                <w:rFonts w:ascii="Calibri" w:hAnsi="Calibri"/>
                <w:b/>
                <w:sz w:val="21"/>
              </w:rPr>
              <w:t>MSc Computer Science</w:t>
            </w:r>
            <w:r>
              <w:br/>
            </w:r>
            <w:r>
              <w:rPr>
                <w:rFonts w:ascii="Calibri" w:hAnsi="Calibri"/>
                <w:i/>
                <w:sz w:val="20"/>
              </w:rPr>
              <w:t>University of Pune, India</w:t>
            </w:r>
          </w:p>
        </w:tc>
      </w:tr>
    </w:tbl>
    <w:p>
      <w:pPr>
        <w:spacing w:before="200" w:after="80"/>
        <w:pBdr>
          <w:bottom w:val="single" w:sz="6" w:space="1" w:color="2F5496"/>
        </w:pBdr>
      </w:pPr>
      <w:r>
        <w:rPr>
          <w:rFonts w:ascii="Calibri" w:hAnsi="Calibri"/>
          <w:b/>
          <w:color w:val="2F5496"/>
          <w:sz w:val="22"/>
        </w:rPr>
        <w:t>CERTIFICATIONS</w:t>
      </w:r>
    </w:p>
    <w:p>
      <w:pPr>
        <w:pStyle w:val="ListBullet"/>
        <w:spacing w:after="20"/>
        <w:ind w:left="283"/>
      </w:pPr>
      <w:r>
        <w:rPr>
          <w:rFonts w:ascii="Calibri" w:hAnsi="Calibri"/>
          <w:sz w:val="20"/>
        </w:rPr>
        <w:t>SnowPro Core Certified (Snowflake)</w:t>
      </w:r>
    </w:p>
    <w:p>
      <w:pPr>
        <w:pStyle w:val="ListBullet"/>
        <w:spacing w:after="20"/>
        <w:ind w:left="283"/>
      </w:pPr>
      <w:r>
        <w:rPr>
          <w:rFonts w:ascii="Calibri" w:hAnsi="Calibri"/>
          <w:sz w:val="20"/>
        </w:rPr>
        <w:t>AWS Certified Solutions Architect</w:t>
      </w:r>
    </w:p>
    <w:p>
      <w:pPr>
        <w:pStyle w:val="ListBullet"/>
        <w:spacing w:after="20"/>
        <w:ind w:left="283"/>
      </w:pPr>
      <w:r>
        <w:rPr>
          <w:rFonts w:ascii="Calibri" w:hAnsi="Calibri"/>
          <w:sz w:val="20"/>
        </w:rPr>
        <w:t>AWS Certified Developer – Associate</w:t>
      </w:r>
    </w:p>
    <w:p>
      <w:pPr>
        <w:pStyle w:val="ListBullet"/>
        <w:spacing w:after="20"/>
        <w:ind w:left="283"/>
      </w:pPr>
      <w:r>
        <w:rPr>
          <w:rFonts w:ascii="Calibri" w:hAnsi="Calibri"/>
          <w:sz w:val="20"/>
        </w:rPr>
        <w:t>Microsoft Certified: Azure Fundamentals</w:t>
      </w:r>
    </w:p>
    <w:p>
      <w:pPr>
        <w:pStyle w:val="ListBullet"/>
        <w:spacing w:after="20"/>
        <w:ind w:left="283"/>
      </w:pPr>
      <w:r>
        <w:rPr>
          <w:rFonts w:ascii="Calibri" w:hAnsi="Calibri"/>
          <w:sz w:val="20"/>
        </w:rPr>
        <w:t>Microsoft Certified: AI Fundamentals</w:t>
      </w:r>
    </w:p>
    <w:p>
      <w:pPr>
        <w:pStyle w:val="ListBullet"/>
        <w:spacing w:after="20"/>
        <w:ind w:left="283"/>
      </w:pPr>
      <w:r>
        <w:rPr>
          <w:rFonts w:ascii="Calibri" w:hAnsi="Calibri"/>
          <w:sz w:val="20"/>
        </w:rPr>
        <w:t>Databricks Certified Data Engineer Associate</w:t>
      </w:r>
    </w:p>
    <w:p>
      <w:pPr>
        <w:pStyle w:val="ListBullet"/>
        <w:spacing w:after="20"/>
        <w:ind w:left="283"/>
      </w:pPr>
      <w:r>
        <w:rPr>
          <w:rFonts w:ascii="Calibri" w:hAnsi="Calibri"/>
          <w:sz w:val="20"/>
        </w:rPr>
        <w:t>Teradata Certified Professional</w:t>
      </w:r>
    </w:p>
    <w:p>
      <w:pPr>
        <w:pStyle w:val="ListBullet"/>
        <w:spacing w:after="20"/>
        <w:ind w:left="283"/>
      </w:pPr>
      <w:r>
        <w:rPr>
          <w:rFonts w:ascii="Calibri" w:hAnsi="Calibri"/>
          <w:sz w:val="20"/>
        </w:rPr>
        <w:t>EXIN Scrum Master</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