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/>
      </w:pPr>
    </w:p>
    <w:p>
      <w:pPr>
        <w:spacing w:after="160"/>
        <w:jc w:val="center"/>
      </w:pPr>
      <w:r>
        <w:rPr>
          <w:b/>
          <w:bCs/>
          <w:color w:val="1F4E5F"/>
          <w:sz w:val="44"/>
          <w:szCs w:val="44"/>
        </w:rPr>
        <w:t xml:space="preserve">PERSONA TAXONOMY</w:t>
      </w:r>
    </w:p>
    <w:p>
      <w:pPr>
        <w:spacing w:after="500"/>
        <w:jc w:val="center"/>
      </w:pPr>
      <w:r>
        <w:rPr>
          <w:i/>
          <w:iCs/>
          <w:color w:val="555555"/>
          <w:sz w:val="26"/>
          <w:szCs w:val="26"/>
        </w:rPr>
        <w:t xml:space="preserve">A 66-Persona Framework for Industrial-Scale Notification Personalisation</w:t>
      </w:r>
    </w:p>
    <w:p>
      <w:pPr>
        <w:spacing w:after="2600"/>
        <w:jc w:val="center"/>
      </w:pPr>
      <w:r>
        <w:rPr>
          <w:color w:val="777777"/>
          <w:sz w:val="20"/>
          <w:szCs w:val="20"/>
        </w:rPr>
        <w:t xml:space="preserve">Derived entirely from column-level schema (final_updated_main.csv) and the survey question / HPNS bucket structure — no individual user records were analysed to build this taxonomy.</w:t>
      </w:r>
    </w:p>
    <w:p>
      <w:r>
        <w:br w:type="page"/>
      </w:r>
    </w:p>
    <w:p>
      <w:pPr>
        <w:pStyle w:val="Heading1"/>
        <w:spacing w:after="160" w:before="340"/>
      </w:pPr>
      <w:r>
        <w:t xml:space="preserve">1. Why 66 Personas, and How They're Built</w:t>
      </w:r>
    </w:p>
    <w:p>
      <w:pPr>
        <w:spacing w:after="130"/>
      </w:pPr>
      <w:r>
        <w:t xml:space="preserve">This taxonomy is built by combining three independent axes, each grounded in a specific set of columns from the profile schema and the survey question structure, rather than in any observed user distribution. Multiplying the axes gives 60 combinatorial personas, plus 6 cross-cutting personas layered on top to handle edge cases the combinatorial grid doesn't cover cleanly (missing data, dormant signups, minority languages, and so on).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Axis 1 — Behavioural Segment (5 values): sourced from primary_category. This field is the same funnel classification used in the initial 5-persona framework.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Axis 2 — Life-Need Domain (3 values): sourced from the survey's HPNS structure (Health / Skills / Agriculture) — the three domains the questionnaire is organised into.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Axis 3 — Life-Context Cluster (4 values): sourced from Occupation and Working_status, grouped into four broad clusters that determine tone and framing rather than content.</w:t>
      </w:r>
    </w:p>
    <w:p>
      <w:pPr>
        <w:spacing w:after="130"/>
      </w:pPr>
      <w:r>
        <w:t xml:space="preserve">5 × 3 × 4 = 60 combinatorial personas, + 6 cross-cutting personas = 66 total personas.</w:t>
      </w:r>
    </w:p>
    <w:p>
      <w:pPr>
        <w:spacing w:after="130"/>
      </w:pPr>
      <w:r>
        <w:t xml:space="preserve">A person's underlying life-need domain is not the same as their app behaviour — someone can behave like a "Scheme Seeker" while their confirmed need sits in Health, Skills, or Agriculture, since all three domains include scheme/benefit-type questions in the survey (H3, S4, A6). That's why every Behaviour × Domain pairing is meaningful rather than arbitrary.</w:t>
      </w:r>
    </w:p>
    <w:p>
      <w:pPr>
        <w:pStyle w:val="Heading1"/>
        <w:spacing w:after="160" w:before="340"/>
      </w:pPr>
      <w:r>
        <w:t xml:space="preserve">2. Axis Definitions</w:t>
      </w:r>
    </w:p>
    <w:p>
      <w:pPr>
        <w:pStyle w:val="Heading2"/>
        <w:spacing w:after="120" w:before="260"/>
      </w:pPr>
      <w:r>
        <w:t xml:space="preserve">Axis 1 — Behavioural Segment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000"/>
      </w:tblGrid>
      <w:tr>
        <w:trPr>
          <w:tblHeader/>
        </w:trPr>
        <w:tc>
          <w:tcPr>
            <w:tcW w:type="dxa" w:w="9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50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Schema source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B1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Passive Browser (Content Reader)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primary_category = 'Content Reader'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B2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Power Converter (High Converter)</w:t>
            </w:r>
          </w:p>
        </w:tc>
        <w:tc>
          <w:tcPr>
            <w:tcW w:type="dxa" w:w="5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primary_category = 'High Converter'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B3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Aspiring Job Seeker (Job Hunter)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primary_category = 'Job Hunter'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B4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Benefit Seeker (Scheme Seeker)</w:t>
            </w:r>
          </w:p>
        </w:tc>
        <w:tc>
          <w:tcPr>
            <w:tcW w:type="dxa" w:w="5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primary_category = 'Scheme Seeker'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B5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Local Service Explorer (Service Explorer)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primary_category = 'Service Explorer'</w:t>
            </w:r>
          </w:p>
        </w:tc>
      </w:tr>
    </w:tbl>
    <w:p>
      <w:pPr>
        <w:pStyle w:val="Heading2"/>
        <w:spacing w:after="120" w:before="260"/>
      </w:pPr>
      <w:r>
        <w:t xml:space="preserve">Axis 2 — Life-Need Domain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000"/>
      </w:tblGrid>
      <w:tr>
        <w:trPr>
          <w:tblHeader/>
        </w:trPr>
        <w:tc>
          <w:tcPr>
            <w:tcW w:type="dxa" w:w="9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60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Survey / schema source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Health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HPNS domain in the questionnaire mapping (question_title, bucket_id, bucket_name, signal_name columns)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Skills</w:t>
            </w:r>
          </w:p>
        </w:tc>
        <w:tc>
          <w:tcPr>
            <w:tcW w:type="dxa" w:w="6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HPNS domain in the questionnaire mapping (question_title, bucket_id, bucket_name, signal_name columns)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Agriculture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HPNS domain in the questionnaire mapping (question_title, bucket_id, bucket_name, signal_name columns)</w:t>
            </w:r>
          </w:p>
        </w:tc>
      </w:tr>
    </w:tbl>
    <w:p>
      <w:pPr>
        <w:pStyle w:val="Heading2"/>
        <w:spacing w:after="120" w:before="260"/>
      </w:pPr>
      <w:r>
        <w:t xml:space="preserve">Axis 3 — Life-Context Cluster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400"/>
      </w:tblGrid>
      <w:tr>
        <w:trPr>
          <w:tblHeader/>
        </w:trPr>
        <w:tc>
          <w:tcPr>
            <w:tcW w:type="dxa" w:w="9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Cluster</w:t>
            </w:r>
          </w:p>
        </w:tc>
        <w:tc>
          <w:tcPr>
            <w:tcW w:type="dxa" w:w="54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Schema source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LC1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 &amp; Land-Based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Occupation ∈ {Farmer, Agricultural Worker}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LC2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&amp; Family-Based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Occupation = Homemaker, or family_type_id / Working_status indicates family-dependent status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LC3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Employed &amp; Working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Working_status ∈ {Working Full-Time, Working Part-Time, Self-Employed}, Occupation ∈ {salaried/skilled-trade/business}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LC4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Youth &amp; Job-Seeking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Occupation = Student, or Working_status ∈ {Unemployed, Not Working}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t xml:space="preserve">3. The 60-Persona Catalog</w:t>
      </w:r>
    </w:p>
    <w:p>
      <w:pPr>
        <w:spacing w:after="130"/>
      </w:pPr>
      <w:r>
        <w:t xml:space="preserve">Organised by Behavioural Segment. Within each, the 12 rows are the 3 domains × 4 life-contexts.</w:t>
      </w:r>
    </w:p>
    <w:p>
      <w:pPr>
        <w:pStyle w:val="Heading2"/>
        <w:spacing w:after="120" w:before="260"/>
      </w:pPr>
      <w:r>
        <w:t xml:space="preserve">B1 — Passive Browser (Content Reader)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1300"/>
        <w:gridCol w:w="1300"/>
        <w:gridCol w:w="1740"/>
        <w:gridCol w:w="3000"/>
      </w:tblGrid>
      <w:tr>
        <w:trPr>
          <w:tblHeader/>
        </w:trPr>
        <w:tc>
          <w:tcPr>
            <w:tcW w:type="dxa" w:w="4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13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Life-Need Domain</w:t>
            </w:r>
          </w:p>
        </w:tc>
        <w:tc>
          <w:tcPr>
            <w:tcW w:type="dxa" w:w="13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Life-Context</w:t>
            </w:r>
          </w:p>
        </w:tc>
        <w:tc>
          <w:tcPr>
            <w:tcW w:type="dxa" w:w="174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HPNS Bucket</w:t>
            </w:r>
          </w:p>
        </w:tc>
        <w:tc>
          <w:tcPr>
            <w:tcW w:type="dxa" w:w="30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Notification Angle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 &amp; Land-Based Passive Browser — Health Need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Health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 &amp; Land-Based</w:t>
            </w:r>
          </w:p>
        </w:tc>
        <w:tc>
          <w:tcPr>
            <w:tcW w:type="dxa" w:w="17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H4 Preventive Wellness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Awareness content on preventive habits and common health conditions, local, crop-season-aware framing; peer-farmer language.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&amp; Family-Based Passive Browser — Health Need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Health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&amp; Family-Based</w:t>
            </w:r>
          </w:p>
        </w:tc>
        <w:tc>
          <w:tcPr>
            <w:tcW w:type="dxa" w:w="17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H4 Preventive Wellness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Awareness content on preventive habits and common health conditions, family-benefit framing; flexible, home-compatible options.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Employed &amp; Working Passive Browser — Health Need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Health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Employed &amp; Working</w:t>
            </w:r>
          </w:p>
        </w:tc>
        <w:tc>
          <w:tcPr>
            <w:tcW w:type="dxa" w:w="17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H4 Preventive Wellness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Awareness content on preventive habits and common health conditions, time-efficiency and career-progression framing.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Youth &amp; Job-Seeking Passive Browser — Health Need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Health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Youth &amp; Job-Seeking</w:t>
            </w:r>
          </w:p>
        </w:tc>
        <w:tc>
          <w:tcPr>
            <w:tcW w:type="dxa" w:w="17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H4 Preventive Wellness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Awareness content on preventive habits and common health conditions, aspirational, first-step, growth-oriented framing.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 &amp; Land-Based Passive Browser — Skills Need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Skills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 &amp; Land-Based</w:t>
            </w:r>
          </w:p>
        </w:tc>
        <w:tc>
          <w:tcPr>
            <w:tcW w:type="dxa" w:w="17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S2 Current Capability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Skill-building tips and short awareness content, local, crop-season-aware framing; peer-farmer language.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&amp; Family-Based Passive Browser — Skills Need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Skills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&amp; Family-Based</w:t>
            </w:r>
          </w:p>
        </w:tc>
        <w:tc>
          <w:tcPr>
            <w:tcW w:type="dxa" w:w="17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S2 Current Capability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Skill-building tips and short awareness content, family-benefit framing; flexible, home-compatible options.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Employed &amp; Working Passive Browser — Skills Need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Skills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Employed &amp; Working</w:t>
            </w:r>
          </w:p>
        </w:tc>
        <w:tc>
          <w:tcPr>
            <w:tcW w:type="dxa" w:w="17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S2 Current Capability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Skill-building tips and short awareness content, time-efficiency and career-progression framing.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Youth &amp; Job-Seeking Passive Browser — Skills Need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Skills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Youth &amp; Job-Seeking</w:t>
            </w:r>
          </w:p>
        </w:tc>
        <w:tc>
          <w:tcPr>
            <w:tcW w:type="dxa" w:w="17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S2 Current Capability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Skill-building tips and short awareness content, aspirational, first-step, growth-oriented framing.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 &amp; Land-Based Passive Browser — Agriculture Need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Agriculture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 &amp; Land-Based</w:t>
            </w:r>
          </w:p>
        </w:tc>
        <w:tc>
          <w:tcPr>
            <w:tcW w:type="dxa" w:w="17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A7 Knowledge &amp; Advisory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Crop advisory tips and seasonal awareness content, local, crop-season-aware framing; peer-farmer language.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&amp; Family-Based Passive Browser — Agriculture Need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Agriculture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&amp; Family-Based</w:t>
            </w:r>
          </w:p>
        </w:tc>
        <w:tc>
          <w:tcPr>
            <w:tcW w:type="dxa" w:w="17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A7 Knowledge &amp; Advisory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Crop advisory tips and seasonal awareness content, family-benefit framing; flexible, home-compatible options.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Employed &amp; Working Passive Browser — Agriculture Need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Agriculture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Employed &amp; Working</w:t>
            </w:r>
          </w:p>
        </w:tc>
        <w:tc>
          <w:tcPr>
            <w:tcW w:type="dxa" w:w="17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A7 Knowledge &amp; Advisory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Crop advisory tips and seasonal awareness content, time-efficiency and career-progression framing.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Youth &amp; Job-Seeking Passive Browser — Agriculture Need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Agriculture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Youth &amp; Job-Seeking</w:t>
            </w:r>
          </w:p>
        </w:tc>
        <w:tc>
          <w:tcPr>
            <w:tcW w:type="dxa" w:w="17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A7 Knowledge &amp; Advisory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Crop advisory tips and seasonal awareness content, aspirational, first-step, growth-oriented framing.</w:t>
            </w:r>
          </w:p>
        </w:tc>
      </w:tr>
    </w:tbl>
    <w:p>
      <w:pPr>
        <w:pBdr>
          <w:bottom w:val="single" w:color="999999" w:sz="6" w:space="1"/>
        </w:pBdr>
        <w:spacing w:after="180"/>
      </w:pPr>
    </w:p>
    <w:p>
      <w:pPr>
        <w:pStyle w:val="Heading2"/>
        <w:spacing w:after="120" w:before="260"/>
      </w:pPr>
      <w:r>
        <w:t xml:space="preserve">B2 — Power Converter (High Converter)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1300"/>
        <w:gridCol w:w="1300"/>
        <w:gridCol w:w="1740"/>
        <w:gridCol w:w="3000"/>
      </w:tblGrid>
      <w:tr>
        <w:trPr>
          <w:tblHeader/>
        </w:trPr>
        <w:tc>
          <w:tcPr>
            <w:tcW w:type="dxa" w:w="4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13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Life-Need Domain</w:t>
            </w:r>
          </w:p>
        </w:tc>
        <w:tc>
          <w:tcPr>
            <w:tcW w:type="dxa" w:w="13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Life-Context</w:t>
            </w:r>
          </w:p>
        </w:tc>
        <w:tc>
          <w:tcPr>
            <w:tcW w:type="dxa" w:w="174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HPNS Bucket</w:t>
            </w:r>
          </w:p>
        </w:tc>
        <w:tc>
          <w:tcPr>
            <w:tcW w:type="dxa" w:w="30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Notification Angle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 &amp; Land-Based Power Converter — Health Need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Health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 &amp; Land-Based</w:t>
            </w:r>
          </w:p>
        </w:tc>
        <w:tc>
          <w:tcPr>
            <w:tcW w:type="dxa" w:w="17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 Health Scheme Adoption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Nudge to finish enrolling in or claiming a health scheme benefit, local, crop-season-aware framing; peer-farmer language.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&amp; Family-Based Power Converter — Health Need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Health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&amp; Family-Based</w:t>
            </w:r>
          </w:p>
        </w:tc>
        <w:tc>
          <w:tcPr>
            <w:tcW w:type="dxa" w:w="17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 Health Scheme Adoption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Nudge to finish enrolling in or claiming a health scheme benefit, family-benefit framing; flexible, home-compatible options.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Employed &amp; Working Power Converter — Health Need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Health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Employed &amp; Working</w:t>
            </w:r>
          </w:p>
        </w:tc>
        <w:tc>
          <w:tcPr>
            <w:tcW w:type="dxa" w:w="17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 Health Scheme Adoption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Nudge to finish enrolling in or claiming a health scheme benefit, time-efficiency and career-progression framing.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Youth &amp; Job-Seeking Power Converter — Health Need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Health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Youth &amp; Job-Seeking</w:t>
            </w:r>
          </w:p>
        </w:tc>
        <w:tc>
          <w:tcPr>
            <w:tcW w:type="dxa" w:w="17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 Health Scheme Adoption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Nudge to finish enrolling in or claiming a health scheme benefit, aspirational, first-step, growth-oriented framing.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 &amp; Land-Based Power Converter — Skills Need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Skills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 &amp; Land-Based</w:t>
            </w:r>
          </w:p>
        </w:tc>
        <w:tc>
          <w:tcPr>
            <w:tcW w:type="dxa" w:w="17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S4 Skill Ecosystem Participation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Nudge to complete a training enrollment or certification already started, local, crop-season-aware framing; peer-farmer language.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&amp; Family-Based Power Converter — Skills Need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Skills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&amp; Family-Based</w:t>
            </w:r>
          </w:p>
        </w:tc>
        <w:tc>
          <w:tcPr>
            <w:tcW w:type="dxa" w:w="17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S4 Skill Ecosystem Participation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Nudge to complete a training enrollment or certification already started, family-benefit framing; flexible, home-compatible options.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Employed &amp; Working Power Converter — Skills Need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Skills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Employed &amp; Working</w:t>
            </w:r>
          </w:p>
        </w:tc>
        <w:tc>
          <w:tcPr>
            <w:tcW w:type="dxa" w:w="17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S4 Skill Ecosystem Participation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Nudge to complete a training enrollment or certification already started, time-efficiency and career-progression framing.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Youth &amp; Job-Seeking Power Converter — Skills Need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Skills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Youth &amp; Job-Seeking</w:t>
            </w:r>
          </w:p>
        </w:tc>
        <w:tc>
          <w:tcPr>
            <w:tcW w:type="dxa" w:w="17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S4 Skill Ecosystem Participation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Nudge to complete a training enrollment or certification already started, aspirational, first-step, growth-oriented framing.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 &amp; Land-Based Power Converter — Agriculture Need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Agriculture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 &amp; Land-Based</w:t>
            </w:r>
          </w:p>
        </w:tc>
        <w:tc>
          <w:tcPr>
            <w:tcW w:type="dxa" w:w="17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A6 Scheme &amp; Financial Enablement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Nudge to finish a subsidy or scheme claim already in motion, local, crop-season-aware framing; peer-farmer language.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&amp; Family-Based Power Converter — Agriculture Need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Agriculture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&amp; Family-Based</w:t>
            </w:r>
          </w:p>
        </w:tc>
        <w:tc>
          <w:tcPr>
            <w:tcW w:type="dxa" w:w="17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A6 Scheme &amp; Financial Enablement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Nudge to finish a subsidy or scheme claim already in motion, family-benefit framing; flexible, home-compatible options.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Employed &amp; Working Power Converter — Agriculture Need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Agriculture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Employed &amp; Working</w:t>
            </w:r>
          </w:p>
        </w:tc>
        <w:tc>
          <w:tcPr>
            <w:tcW w:type="dxa" w:w="17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A6 Scheme &amp; Financial Enablement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Nudge to finish a subsidy or scheme claim already in motion, time-efficiency and career-progression framing.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Youth &amp; Job-Seeking Power Converter — Agriculture Need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Agriculture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Youth &amp; Job-Seeking</w:t>
            </w:r>
          </w:p>
        </w:tc>
        <w:tc>
          <w:tcPr>
            <w:tcW w:type="dxa" w:w="17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A6 Scheme &amp; Financial Enablement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Nudge to finish a subsidy or scheme claim already in motion, aspirational, first-step, growth-oriented framing.</w:t>
            </w:r>
          </w:p>
        </w:tc>
      </w:tr>
    </w:tbl>
    <w:p>
      <w:pPr>
        <w:pBdr>
          <w:bottom w:val="single" w:color="999999" w:sz="6" w:space="1"/>
        </w:pBdr>
        <w:spacing w:after="180"/>
      </w:pPr>
    </w:p>
    <w:p>
      <w:pPr>
        <w:pStyle w:val="Heading2"/>
        <w:spacing w:after="120" w:before="260"/>
      </w:pPr>
      <w:r>
        <w:t xml:space="preserve">B3 — Aspiring Job Seeker (Job Hunter)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1300"/>
        <w:gridCol w:w="1300"/>
        <w:gridCol w:w="1740"/>
        <w:gridCol w:w="3000"/>
      </w:tblGrid>
      <w:tr>
        <w:trPr>
          <w:tblHeader/>
        </w:trPr>
        <w:tc>
          <w:tcPr>
            <w:tcW w:type="dxa" w:w="4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13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Life-Need Domain</w:t>
            </w:r>
          </w:p>
        </w:tc>
        <w:tc>
          <w:tcPr>
            <w:tcW w:type="dxa" w:w="13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Life-Context</w:t>
            </w:r>
          </w:p>
        </w:tc>
        <w:tc>
          <w:tcPr>
            <w:tcW w:type="dxa" w:w="174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HPNS Bucket</w:t>
            </w:r>
          </w:p>
        </w:tc>
        <w:tc>
          <w:tcPr>
            <w:tcW w:type="dxa" w:w="30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Notification Angle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 &amp; Land-Based Aspiring Job Seeker — Health Need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Health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 &amp; Land-Based</w:t>
            </w:r>
          </w:p>
        </w:tc>
        <w:tc>
          <w:tcPr>
            <w:tcW w:type="dxa" w:w="17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H1/H2 Medical Need &amp; Access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Employment leads framed around flexible/health-accommodating roles, local, crop-season-aware framing; peer-farmer language.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&amp; Family-Based Aspiring Job Seeker — Health Need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Health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&amp; Family-Based</w:t>
            </w:r>
          </w:p>
        </w:tc>
        <w:tc>
          <w:tcPr>
            <w:tcW w:type="dxa" w:w="17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H1/H2 Medical Need &amp; Access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Employment leads framed around flexible/health-accommodating roles, family-benefit framing; flexible, home-compatible options.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Employed &amp; Working Aspiring Job Seeker — Health Need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Health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Employed &amp; Working</w:t>
            </w:r>
          </w:p>
        </w:tc>
        <w:tc>
          <w:tcPr>
            <w:tcW w:type="dxa" w:w="17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H1/H2 Medical Need &amp; Access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Employment leads framed around flexible/health-accommodating roles, time-efficiency and career-progression framing.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Youth &amp; Job-Seeking Aspiring Job Seeker — Health Need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Health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Youth &amp; Job-Seeking</w:t>
            </w:r>
          </w:p>
        </w:tc>
        <w:tc>
          <w:tcPr>
            <w:tcW w:type="dxa" w:w="17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H1/H2 Medical Need &amp; Access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Employment leads framed around flexible/health-accommodating roles, aspirational, first-step, growth-oriented framing.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 &amp; Land-Based Aspiring Job Seeker — Skills Need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Skills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 &amp; Land-Based</w:t>
            </w:r>
          </w:p>
        </w:tc>
        <w:tc>
          <w:tcPr>
            <w:tcW w:type="dxa" w:w="17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S3 Career Growth Intent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Curated job and training opportunity alerts, local, crop-season-aware framing; peer-farmer language.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&amp; Family-Based Aspiring Job Seeker — Skills Need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Skills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&amp; Family-Based</w:t>
            </w:r>
          </w:p>
        </w:tc>
        <w:tc>
          <w:tcPr>
            <w:tcW w:type="dxa" w:w="17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S3 Career Growth Intent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Curated job and training opportunity alerts, family-benefit framing; flexible, home-compatible options.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Employed &amp; Working Aspiring Job Seeker — Skills Need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Skills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Employed &amp; Working</w:t>
            </w:r>
          </w:p>
        </w:tc>
        <w:tc>
          <w:tcPr>
            <w:tcW w:type="dxa" w:w="17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S3 Career Growth Intent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Curated job and training opportunity alerts, time-efficiency and career-progression framing.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Youth &amp; Job-Seeking Aspiring Job Seeker — Skills Need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Skills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Youth &amp; Job-Seeking</w:t>
            </w:r>
          </w:p>
        </w:tc>
        <w:tc>
          <w:tcPr>
            <w:tcW w:type="dxa" w:w="17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S3 Career Growth Intent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Curated job and training opportunity alerts, aspirational, first-step, growth-oriented framing.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 &amp; Land-Based Aspiring Job Seeker — Agriculture Need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Agriculture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 &amp; Land-Based</w:t>
            </w:r>
          </w:p>
        </w:tc>
        <w:tc>
          <w:tcPr>
            <w:tcW w:type="dxa" w:w="17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A2 Farmer Challenges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Off-farm income or livelihood-diversification opportunity alerts, local, crop-season-aware framing; peer-farmer language.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&amp; Family-Based Aspiring Job Seeker — Agriculture Need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Agriculture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&amp; Family-Based</w:t>
            </w:r>
          </w:p>
        </w:tc>
        <w:tc>
          <w:tcPr>
            <w:tcW w:type="dxa" w:w="17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A2 Farmer Challenges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Off-farm income or livelihood-diversification opportunity alerts, family-benefit framing; flexible, home-compatible options.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Employed &amp; Working Aspiring Job Seeker — Agriculture Need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Agriculture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Employed &amp; Working</w:t>
            </w:r>
          </w:p>
        </w:tc>
        <w:tc>
          <w:tcPr>
            <w:tcW w:type="dxa" w:w="17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A2 Farmer Challenges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Off-farm income or livelihood-diversification opportunity alerts, time-efficiency and career-progression framing.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Youth &amp; Job-Seeking Aspiring Job Seeker — Agriculture Need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Agriculture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Youth &amp; Job-Seeking</w:t>
            </w:r>
          </w:p>
        </w:tc>
        <w:tc>
          <w:tcPr>
            <w:tcW w:type="dxa" w:w="17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A2 Farmer Challenges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Off-farm income or livelihood-diversification opportunity alerts, aspirational, first-step, growth-oriented framing.</w:t>
            </w:r>
          </w:p>
        </w:tc>
      </w:tr>
    </w:tbl>
    <w:p>
      <w:pPr>
        <w:pBdr>
          <w:bottom w:val="single" w:color="999999" w:sz="6" w:space="1"/>
        </w:pBdr>
        <w:spacing w:after="180"/>
      </w:pPr>
    </w:p>
    <w:p>
      <w:pPr>
        <w:pStyle w:val="Heading2"/>
        <w:spacing w:after="120" w:before="260"/>
      </w:pPr>
      <w:r>
        <w:t xml:space="preserve">B4 — Benefit Seeker (Scheme Seeker)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1300"/>
        <w:gridCol w:w="1300"/>
        <w:gridCol w:w="1740"/>
        <w:gridCol w:w="3000"/>
      </w:tblGrid>
      <w:tr>
        <w:trPr>
          <w:tblHeader/>
        </w:trPr>
        <w:tc>
          <w:tcPr>
            <w:tcW w:type="dxa" w:w="4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13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Life-Need Domain</w:t>
            </w:r>
          </w:p>
        </w:tc>
        <w:tc>
          <w:tcPr>
            <w:tcW w:type="dxa" w:w="13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Life-Context</w:t>
            </w:r>
          </w:p>
        </w:tc>
        <w:tc>
          <w:tcPr>
            <w:tcW w:type="dxa" w:w="174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HPNS Bucket</w:t>
            </w:r>
          </w:p>
        </w:tc>
        <w:tc>
          <w:tcPr>
            <w:tcW w:type="dxa" w:w="30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Notification Angle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 &amp; Land-Based Benefit Seeker — Health Need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Health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 &amp; Land-Based</w:t>
            </w:r>
          </w:p>
        </w:tc>
        <w:tc>
          <w:tcPr>
            <w:tcW w:type="dxa" w:w="17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 Health Scheme Adoption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Eligibility confirmation + document checklist for a named health scheme, local, crop-season-aware framing; peer-farmer language.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&amp; Family-Based Benefit Seeker — Health Need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Health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&amp; Family-Based</w:t>
            </w:r>
          </w:p>
        </w:tc>
        <w:tc>
          <w:tcPr>
            <w:tcW w:type="dxa" w:w="17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 Health Scheme Adoption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Eligibility confirmation + document checklist for a named health scheme, family-benefit framing; flexible, home-compatible options.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Employed &amp; Working Benefit Seeker — Health Need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Health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Employed &amp; Working</w:t>
            </w:r>
          </w:p>
        </w:tc>
        <w:tc>
          <w:tcPr>
            <w:tcW w:type="dxa" w:w="17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 Health Scheme Adoption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Eligibility confirmation + document checklist for a named health scheme, time-efficiency and career-progression framing.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Youth &amp; Job-Seeking Benefit Seeker — Health Need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Health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Youth &amp; Job-Seeking</w:t>
            </w:r>
          </w:p>
        </w:tc>
        <w:tc>
          <w:tcPr>
            <w:tcW w:type="dxa" w:w="17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 Health Scheme Adoption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Eligibility confirmation + document checklist for a named health scheme, aspirational, first-step, growth-oriented framing.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 &amp; Land-Based Benefit Seeker — Skills Need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Skills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 &amp; Land-Based</w:t>
            </w:r>
          </w:p>
        </w:tc>
        <w:tc>
          <w:tcPr>
            <w:tcW w:type="dxa" w:w="17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S4 Skill Ecosystem Participation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Eligibility + steps for a skilling scheme or stipend, local, crop-season-aware framing; peer-farmer language.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&amp; Family-Based Benefit Seeker — Skills Need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Skills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&amp; Family-Based</w:t>
            </w:r>
          </w:p>
        </w:tc>
        <w:tc>
          <w:tcPr>
            <w:tcW w:type="dxa" w:w="17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S4 Skill Ecosystem Participation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Eligibility + steps for a skilling scheme or stipend, family-benefit framing; flexible, home-compatible options.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Employed &amp; Working Benefit Seeker — Skills Need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Skills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Employed &amp; Working</w:t>
            </w:r>
          </w:p>
        </w:tc>
        <w:tc>
          <w:tcPr>
            <w:tcW w:type="dxa" w:w="17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S4 Skill Ecosystem Participation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Eligibility + steps for a skilling scheme or stipend, time-efficiency and career-progression framing.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Youth &amp; Job-Seeking Benefit Seeker — Skills Need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Skills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Youth &amp; Job-Seeking</w:t>
            </w:r>
          </w:p>
        </w:tc>
        <w:tc>
          <w:tcPr>
            <w:tcW w:type="dxa" w:w="17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S4 Skill Ecosystem Participation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Eligibility + steps for a skilling scheme or stipend, aspirational, first-step, growth-oriented framing.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 &amp; Land-Based Benefit Seeker — Agriculture Need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Agriculture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 &amp; Land-Based</w:t>
            </w:r>
          </w:p>
        </w:tc>
        <w:tc>
          <w:tcPr>
            <w:tcW w:type="dxa" w:w="17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A6 Scheme &amp; Financial Enablement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Eligibility confirmation + document checklist for a named agri subsidy, local, crop-season-aware framing; peer-farmer language.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&amp; Family-Based Benefit Seeker — Agriculture Need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Agriculture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&amp; Family-Based</w:t>
            </w:r>
          </w:p>
        </w:tc>
        <w:tc>
          <w:tcPr>
            <w:tcW w:type="dxa" w:w="17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A6 Scheme &amp; Financial Enablement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Eligibility confirmation + document checklist for a named agri subsidy, family-benefit framing; flexible, home-compatible options.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Employed &amp; Working Benefit Seeker — Agriculture Need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Agriculture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Employed &amp; Working</w:t>
            </w:r>
          </w:p>
        </w:tc>
        <w:tc>
          <w:tcPr>
            <w:tcW w:type="dxa" w:w="17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A6 Scheme &amp; Financial Enablement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Eligibility confirmation + document checklist for a named agri subsidy, time-efficiency and career-progression framing.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Youth &amp; Job-Seeking Benefit Seeker — Agriculture Need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Agriculture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Youth &amp; Job-Seeking</w:t>
            </w:r>
          </w:p>
        </w:tc>
        <w:tc>
          <w:tcPr>
            <w:tcW w:type="dxa" w:w="17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A6 Scheme &amp; Financial Enablement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Eligibility confirmation + document checklist for a named agri subsidy, aspirational, first-step, growth-oriented framing.</w:t>
            </w:r>
          </w:p>
        </w:tc>
      </w:tr>
    </w:tbl>
    <w:p>
      <w:pPr>
        <w:pBdr>
          <w:bottom w:val="single" w:color="999999" w:sz="6" w:space="1"/>
        </w:pBdr>
        <w:spacing w:after="180"/>
      </w:pPr>
    </w:p>
    <w:p>
      <w:pPr>
        <w:pStyle w:val="Heading2"/>
        <w:spacing w:after="120" w:before="260"/>
      </w:pPr>
      <w:r>
        <w:t xml:space="preserve">B5 — Local Service Explorer (Service Explorer)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1300"/>
        <w:gridCol w:w="1300"/>
        <w:gridCol w:w="1740"/>
        <w:gridCol w:w="3000"/>
      </w:tblGrid>
      <w:tr>
        <w:trPr>
          <w:tblHeader/>
        </w:trPr>
        <w:tc>
          <w:tcPr>
            <w:tcW w:type="dxa" w:w="4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13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Life-Need Domain</w:t>
            </w:r>
          </w:p>
        </w:tc>
        <w:tc>
          <w:tcPr>
            <w:tcW w:type="dxa" w:w="13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Life-Context</w:t>
            </w:r>
          </w:p>
        </w:tc>
        <w:tc>
          <w:tcPr>
            <w:tcW w:type="dxa" w:w="174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HPNS Bucket</w:t>
            </w:r>
          </w:p>
        </w:tc>
        <w:tc>
          <w:tcPr>
            <w:tcW w:type="dxa" w:w="30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Notification Angle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 &amp; Land-Based Local Service Explorer — Health Need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Health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 &amp; Land-Based</w:t>
            </w:r>
          </w:p>
        </w:tc>
        <w:tc>
          <w:tcPr>
            <w:tcW w:type="dxa" w:w="17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 Healthcare Access &amp; Affordability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Nearby facility or health-camp alert with distance and cost shown upfront, local, crop-season-aware framing; peer-farmer language.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&amp; Family-Based Local Service Explorer — Health Need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Health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&amp; Family-Based</w:t>
            </w:r>
          </w:p>
        </w:tc>
        <w:tc>
          <w:tcPr>
            <w:tcW w:type="dxa" w:w="17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 Healthcare Access &amp; Affordability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Nearby facility or health-camp alert with distance and cost shown upfront, family-benefit framing; flexible, home-compatible options.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Employed &amp; Working Local Service Explorer — Health Need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Health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Employed &amp; Working</w:t>
            </w:r>
          </w:p>
        </w:tc>
        <w:tc>
          <w:tcPr>
            <w:tcW w:type="dxa" w:w="17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 Healthcare Access &amp; Affordability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Nearby facility or health-camp alert with distance and cost shown upfront, time-efficiency and career-progression framing.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Youth &amp; Job-Seeking Local Service Explorer — Health Need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Health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Youth &amp; Job-Seeking</w:t>
            </w:r>
          </w:p>
        </w:tc>
        <w:tc>
          <w:tcPr>
            <w:tcW w:type="dxa" w:w="17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 Healthcare Access &amp; Affordability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Nearby facility or health-camp alert with distance and cost shown upfront, aspirational, first-step, growth-oriented framing.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 &amp; Land-Based Local Service Explorer — Skills Need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Skills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 &amp; Land-Based</w:t>
            </w:r>
          </w:p>
        </w:tc>
        <w:tc>
          <w:tcPr>
            <w:tcW w:type="dxa" w:w="17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S5 Economic Opportunity Marketplace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Nearby training center or gig/service listing alert, local, crop-season-aware framing; peer-farmer language.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&amp; Family-Based Local Service Explorer — Skills Need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Skills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&amp; Family-Based</w:t>
            </w:r>
          </w:p>
        </w:tc>
        <w:tc>
          <w:tcPr>
            <w:tcW w:type="dxa" w:w="17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S5 Economic Opportunity Marketplace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Nearby training center or gig/service listing alert, family-benefit framing; flexible, home-compatible options.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Employed &amp; Working Local Service Explorer — Skills Need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Skills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Employed &amp; Working</w:t>
            </w:r>
          </w:p>
        </w:tc>
        <w:tc>
          <w:tcPr>
            <w:tcW w:type="dxa" w:w="17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S5 Economic Opportunity Marketplace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Nearby training center or gig/service listing alert, time-efficiency and career-progression framing.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Youth &amp; Job-Seeking Local Service Explorer — Skills Need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Skills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Youth &amp; Job-Seeking</w:t>
            </w:r>
          </w:p>
        </w:tc>
        <w:tc>
          <w:tcPr>
            <w:tcW w:type="dxa" w:w="17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S5 Economic Opportunity Marketplace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Nearby training center or gig/service listing alert, aspirational, first-step, growth-oriented framing.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 &amp; Land-Based Local Service Explorer — Agriculture Need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Agriculture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 &amp; Land-Based</w:t>
            </w:r>
          </w:p>
        </w:tc>
        <w:tc>
          <w:tcPr>
            <w:tcW w:type="dxa" w:w="17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A4 Water &amp; Infrastructure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Nearby agri-service, equipment, or advisory center alert, local, crop-season-aware framing; peer-farmer language.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&amp; Family-Based Local Service Explorer — Agriculture Need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Agriculture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&amp; Family-Based</w:t>
            </w:r>
          </w:p>
        </w:tc>
        <w:tc>
          <w:tcPr>
            <w:tcW w:type="dxa" w:w="17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A4 Water &amp; Infrastructure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Nearby agri-service, equipment, or advisory center alert, family-benefit framing; flexible, home-compatible options.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Employed &amp; Working Local Service Explorer — Agriculture Need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Agriculture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Employed &amp; Working</w:t>
            </w:r>
          </w:p>
        </w:tc>
        <w:tc>
          <w:tcPr>
            <w:tcW w:type="dxa" w:w="17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A4 Water &amp; Infrastructure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Nearby agri-service, equipment, or advisory center alert, time-efficiency and career-progression framing.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Youth &amp; Job-Seeking Local Service Explorer — Agriculture Need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Agriculture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Youth &amp; Job-Seeking</w:t>
            </w:r>
          </w:p>
        </w:tc>
        <w:tc>
          <w:tcPr>
            <w:tcW w:type="dxa" w:w="17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A4 Water &amp; Infrastructure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Nearby agri-service, equipment, or advisory center alert, aspirational, first-step, growth-oriented framing.</w:t>
            </w:r>
          </w:p>
        </w:tc>
      </w:tr>
    </w:tbl>
    <w:p>
      <w:pPr>
        <w:pBdr>
          <w:bottom w:val="single" w:color="999999" w:sz="6" w:space="1"/>
        </w:pBdr>
        <w:spacing w:after="180"/>
      </w:pPr>
    </w:p>
    <w:p>
      <w:r>
        <w:br w:type="page"/>
      </w:r>
    </w:p>
    <w:p>
      <w:pPr>
        <w:pStyle w:val="Heading1"/>
        <w:spacing w:after="160" w:before="340"/>
      </w:pPr>
      <w:r>
        <w:t xml:space="preserve">4. Cross-Cutting / Special Personas (6)</w:t>
      </w:r>
    </w:p>
    <w:p>
      <w:pPr>
        <w:spacing w:after="130"/>
      </w:pPr>
      <w:r>
        <w:t xml:space="preserve">These sit outside the 5×3×4 grid — they're triggered by a data condition rather than a combination of the three axes, and can apply on top of any of the 60 core personas above.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400"/>
        <w:gridCol w:w="3400"/>
      </w:tblGrid>
      <w:tr>
        <w:trPr>
          <w:tblHeader/>
        </w:trPr>
        <w:tc>
          <w:tcPr>
            <w:tcW w:type="dxa" w:w="7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34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Trigger (schema condition)</w:t>
            </w:r>
          </w:p>
        </w:tc>
        <w:tc>
          <w:tcPr>
            <w:tcW w:type="dxa" w:w="34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it changes the approach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X1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/ Dormant Signup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Near-zero values across content_score, scheme_score, job_score, service_score, and minimal engagement_time_min, regardless of primary_category.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Activation sequence, not a nurture or conversion sequence — first goal is a single opened notification and one completed in-app action.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X2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Multi-Domain Achiever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primary_category = High Converter with comparably elevated scores across more than one domain-relevant signal — behaviourally active across Health, Skills and Agriculture rather than one.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Rotate domain focus notification-by-notification instead of committing to a single lean; track which domain each message converts on to progressively narrow the persona.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X3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Incomplete-Profile User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values in key classifying fields (age, Occupation, Working_status).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Fall back to primary_category + notification_tag only (Rules 1–3 from the assignment logic); avoid domain- or life-context-specific claims until more profile data is captured.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X4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Economically Vulnerable Overlay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bpl_category = True, or personal/family income at the lowest recorded bands.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Cross-cutting priority flag applied on top of any of the 60 core personas — benefit/subsidy and free-service messaging is promoted ahead of paid or optional content for this user, regardless of their core persona.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X5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Minority-Language User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preferred_language outside the three dominant languages (e.g. Punjabi, Tamil, Bengali, Assamese, Malayalam, Telugu, Odia, Gujarati, Kannada).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Route to translation/localisation review before send; do not assume template copy translates cleanly — flag for manual QA given small volume per language.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X6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Urban-Context User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district ∈ metro/urban areas (e.g. Mumbai City, Mumbai Suburban, Thane) rather than the predominantly rural district set.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Adjust "nearby service/camp" content to urban-density assumptions (more facility options, shorter distances, different transport framing) rather than the rural-default copy used elsewhere.</w:t>
            </w:r>
          </w:p>
        </w:tc>
      </w:tr>
    </w:tbl>
    <w:p>
      <w:pPr>
        <w:pStyle w:val="Heading1"/>
        <w:spacing w:after="160" w:before="340"/>
      </w:pPr>
      <w:r>
        <w:t xml:space="preserve">5. Assignment Flow — Placing Every User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Step 1: Assign the Behavioural Segment (B1–B5) from primary_category — always populated, guarantees every user lands in one of five buckets before any further refinement.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Step 2: Check for X1 (dormant) or X3 (incomplete profile) conditions — if triggered, stop here and use the reduced-data version of the persona until more signal is available.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Step 3: Assign the Life-Context Cluster (LC1–LC4) from Occupation / Working_status.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Step 4: Assign the Life-Need Domain (D1–D3) — provisionally from Occupation/age/family fields as outlined in the prior framework, then confirmed/overridden once individual survey responses are joined by user_id.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Step 5: Apply any remaining overlays that fit — X2 (multi-domain), X4 (BPL/economic vulnerability), X5 (minority language), X6 (urban context) — these can stack on top of the core 60.</w:t>
      </w:r>
    </w:p>
    <w:p>
      <w:pPr>
        <w:spacing w:after="130"/>
      </w:pPr>
      <w:r>
        <w:t xml:space="preserve">Because Steps 1 and 2 alone already guarantee a placement for every user, the 60-persona grid and the 6 overlays exist purely to sharpen an already-complete assignment — no user can fall outside the taxonomy.</w:t>
      </w:r>
    </w:p>
    <w:p>
      <w:pPr>
        <w:pStyle w:val="Heading1"/>
        <w:spacing w:after="160" w:before="340"/>
      </w:pPr>
      <w:r>
        <w:t xml:space="preserve">6. Note on Scope</w:t>
      </w:r>
    </w:p>
    <w:p>
      <w:pPr>
        <w:spacing w:after="130"/>
      </w:pPr>
      <w:r>
        <w:t xml:space="preserve">As before, this taxonomy is built from column names and the survey's question/bucket structure only — no individual user records were reviewed to produce it. The Life-Need Domain assignment in particular is a schema-level placeholder (Occupation/age-based) until a per-user survey response table, keyed on user_id, is joined to the profile data. At that point Step 4 should switch from the proxy rule to the actual signal values captured in the questionnaire.</w:t>
      </w:r>
    </w:p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2026-07-14T07:27:20.449Z</dcterms:created>
  <dcterms:modified xsi:type="dcterms:W3CDTF">2026-07-14T07:27:20.449Z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