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</w:pPr>
      <w:r>
        <w:t>Краткое описание курсовой работы</w:t>
      </w:r>
    </w:p>
    <w:p>
      <w:pPr>
        <w:jc w:val="center"/>
      </w:pPr>
      <w:r>
        <w:t>Линейная регрессия для анализа факторов, связанных с ценой товара</w:t>
      </w:r>
    </w:p>
    <w:p>
      <w:pPr>
        <w:jc w:val="center"/>
      </w:pPr>
      <w:r>
        <w:t>КФУ · математическая статистика · 2026</w:t>
      </w:r>
    </w:p>
    <w:p>
      <w:pPr>
        <w:pStyle w:val="Heading1"/>
      </w:pPr>
      <w:r>
        <w:t>Тема и вопрос</w:t>
      </w:r>
    </w:p>
    <w:p>
      <w:r>
        <w:t>Цель работы — сравнить связи общей цены товара с ценами трёх конкурентов и проверить, какие из них сохраняются при одновременном учёте. Результаты описывают статистические связи, а не причинность.</w:t>
      </w:r>
    </w:p>
    <w:p>
      <w:pPr>
        <w:pStyle w:val="Heading1"/>
      </w:pPr>
      <w:r>
        <w:t>Данные и метод</w:t>
      </w:r>
    </w:p>
    <w:p>
      <w:r>
        <w:t>Набор Retail Price содержит 676 наблюдений по 52 товарам за 2017–2018 годы. Сравниваются три модели, где цена одного конкурента используется вместе с числом покупателей и весом, и расширенная модель со всеми тремя ценами. Ошибки кластеризуются по товару; применяются t-проверки, 95%-ные интервалы и F-тесты.</w:t>
      </w:r>
    </w:p>
    <w:p>
      <w:r>
        <w:t>В расширенной модели: R² = 0,298, скорректированный R² = 0,293. Цены конкурентов умеренно коррелируют между собой.</w:t>
      </w:r>
    </w:p>
    <w:p>
      <w:pPr>
        <w:pStyle w:val="Heading1"/>
      </w:pPr>
      <w:r>
        <w:t>Результаты расширенной модели</w:t>
      </w:r>
    </w:p>
    <w:p>
      <w:r>
        <w:t>При одновременном учёте конкурентов индивидуально значим коэффициент comp_2. Для comp_1 и comp_3 значимость не подтверждена. Число покупателей и вес значимы на уровне 5%.</w:t>
      </w:r>
    </w:p>
    <w:p>
      <w:r>
        <w:t>Совместная проверка</w:t>
      </w:r>
    </w:p>
    <w:p>
      <w:pPr>
        <w:pStyle w:val="Heading1"/>
      </w:pPr>
      <w:r>
        <w:t>Цены конкурентов значимы совместно: F(3, 51) = 10,58, p = 0,000016. Модель в целом значима: F(5, 51) = 28,73, p &lt; 0,001. Это не означает, что каждый конкурент значим по отдельности.</w:t>
      </w:r>
    </w:p>
    <w:p>
      <w:r>
        <w:t>Вывод и ограничения</w:t>
      </w:r>
    </w:p>
    <w:p>
      <w:r>
        <w:t>В трёх отдельных моделях все цены конкурентов положительно связаны с общей ценой; наибольший скорректированный R² у модели с comp_2. Сравнение выполнено на той же выборке и не доказывает точность прогноза на новых данных. Причинный вывод невозможен.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</w:tcPr>
          <w:p>
            <w:r>
              <w:t>Фактор</w:t>
            </w:r>
          </w:p>
        </w:tc>
        <w:tc>
          <w:tcPr>
            <w:tcW w:type="dxa" w:w="1984"/>
          </w:tcPr>
          <w:p>
            <w:r>
              <w:t>Коэф.</w:t>
            </w:r>
          </w:p>
        </w:tc>
        <w:tc>
          <w:tcPr>
            <w:tcW w:type="dxa" w:w="1984"/>
          </w:tcPr>
          <w:p>
            <w:r>
              <w:t>p-value</w:t>
            </w:r>
          </w:p>
        </w:tc>
        <w:tc>
          <w:tcPr>
            <w:tcW w:type="dxa" w:w="1984"/>
          </w:tcPr>
          <w:p>
            <w:r>
              <w:t>95% интервал</w:t>
            </w:r>
          </w:p>
        </w:tc>
        <w:tc>
          <w:tcPr>
            <w:tcW w:type="dxa" w:w="1984"/>
          </w:tcPr>
          <w:p>
            <w:r>
              <w:t>Вывод</w:t>
            </w:r>
          </w:p>
        </w:tc>
      </w:tr>
      <w:tr>
        <w:tc>
          <w:tcPr>
            <w:tcW w:type="dxa" w:w="1984"/>
          </w:tcPr>
          <w:p>
            <w:r>
              <w:t>Число покупателей</w:t>
            </w:r>
          </w:p>
        </w:tc>
        <w:tc>
          <w:tcPr>
            <w:tcW w:type="dxa" w:w="1984"/>
          </w:tcPr>
          <w:p>
            <w:r>
              <w:t>0,543</w:t>
            </w:r>
          </w:p>
        </w:tc>
        <w:tc>
          <w:tcPr>
            <w:tcW w:type="dxa" w:w="1984"/>
          </w:tcPr>
          <w:p>
            <w:r>
              <w:t>7,94·10⁻¹³</w:t>
            </w:r>
          </w:p>
        </w:tc>
        <w:tc>
          <w:tcPr>
            <w:tcW w:type="dxa" w:w="1984"/>
          </w:tcPr>
          <w:p>
            <w:r>
              <w:t>[0,428; 0,658]</w:t>
            </w:r>
          </w:p>
        </w:tc>
        <w:tc>
          <w:tcPr>
            <w:tcW w:type="dxa" w:w="1984"/>
          </w:tcPr>
          <w:p>
            <w:r>
              <w:t>значим</w:t>
            </w:r>
          </w:p>
        </w:tc>
      </w:tr>
      <w:tr>
        <w:tc>
          <w:tcPr>
            <w:tcW w:type="dxa" w:w="1984"/>
          </w:tcPr>
          <w:p>
            <w:r>
              <w:t>Цена конкурента 1</w:t>
            </w:r>
          </w:p>
        </w:tc>
        <w:tc>
          <w:tcPr>
            <w:tcW w:type="dxa" w:w="1984"/>
          </w:tcPr>
          <w:p>
            <w:r>
              <w:t>0,035</w:t>
            </w:r>
          </w:p>
        </w:tc>
        <w:tc>
          <w:tcPr>
            <w:tcW w:type="dxa" w:w="1984"/>
          </w:tcPr>
          <w:p>
            <w:r>
              <w:t>0,802</w:t>
            </w:r>
          </w:p>
        </w:tc>
        <w:tc>
          <w:tcPr>
            <w:tcW w:type="dxa" w:w="1984"/>
          </w:tcPr>
          <w:p>
            <w:r>
              <w:t>[−0,245; 0,315]</w:t>
            </w:r>
          </w:p>
        </w:tc>
        <w:tc>
          <w:tcPr>
            <w:tcW w:type="dxa" w:w="1984"/>
          </w:tcPr>
          <w:p>
            <w:r>
              <w:t>не подтверждён</w:t>
            </w:r>
          </w:p>
        </w:tc>
      </w:tr>
      <w:tr>
        <w:tc>
          <w:tcPr>
            <w:tcW w:type="dxa" w:w="1984"/>
          </w:tcPr>
          <w:p>
            <w:r>
              <w:t>Цена конкурента 2</w:t>
            </w:r>
          </w:p>
        </w:tc>
        <w:tc>
          <w:tcPr>
            <w:tcW w:type="dxa" w:w="1984"/>
          </w:tcPr>
          <w:p>
            <w:r>
              <w:t>0,532</w:t>
            </w:r>
          </w:p>
        </w:tc>
        <w:tc>
          <w:tcPr>
            <w:tcW w:type="dxa" w:w="1984"/>
          </w:tcPr>
          <w:p>
            <w:r>
              <w:t>0,011</w:t>
            </w:r>
          </w:p>
        </w:tc>
        <w:tc>
          <w:tcPr>
            <w:tcW w:type="dxa" w:w="1984"/>
          </w:tcPr>
          <w:p>
            <w:r>
              <w:t>[0,125; 0,939]</w:t>
            </w:r>
          </w:p>
        </w:tc>
        <w:tc>
          <w:tcPr>
            <w:tcW w:type="dxa" w:w="1984"/>
          </w:tcPr>
          <w:p>
            <w:r>
              <w:t>значим</w:t>
            </w:r>
          </w:p>
        </w:tc>
      </w:tr>
      <w:tr>
        <w:tc>
          <w:tcPr>
            <w:tcW w:type="dxa" w:w="1984"/>
          </w:tcPr>
          <w:p>
            <w:r>
              <w:t>Цена конкурента 3</w:t>
            </w:r>
          </w:p>
        </w:tc>
        <w:tc>
          <w:tcPr>
            <w:tcW w:type="dxa" w:w="1984"/>
          </w:tcPr>
          <w:p>
            <w:r>
              <w:t>0,228</w:t>
            </w:r>
          </w:p>
        </w:tc>
        <w:tc>
          <w:tcPr>
            <w:tcW w:type="dxa" w:w="1984"/>
          </w:tcPr>
          <w:p>
            <w:r>
              <w:t>0,253</w:t>
            </w:r>
          </w:p>
        </w:tc>
        <w:tc>
          <w:tcPr>
            <w:tcW w:type="dxa" w:w="1984"/>
          </w:tcPr>
          <w:p>
            <w:r>
              <w:t>[−0,168; 0,624]</w:t>
            </w:r>
          </w:p>
        </w:tc>
        <w:tc>
          <w:tcPr>
            <w:tcW w:type="dxa" w:w="1984"/>
          </w:tcPr>
          <w:p>
            <w:r>
              <w:t>не подтверждён</w:t>
            </w:r>
          </w:p>
        </w:tc>
      </w:tr>
      <w:tr>
        <w:tc>
          <w:tcPr>
            <w:tcW w:type="dxa" w:w="1984"/>
          </w:tcPr>
          <w:p>
            <w:r>
              <w:t>Вес товара</w:t>
            </w:r>
          </w:p>
        </w:tc>
        <w:tc>
          <w:tcPr>
            <w:tcW w:type="dxa" w:w="1984"/>
          </w:tcPr>
          <w:p>
            <w:r>
              <w:t>0,135</w:t>
            </w:r>
          </w:p>
        </w:tc>
        <w:tc>
          <w:tcPr>
            <w:tcW w:type="dxa" w:w="1984"/>
          </w:tcPr>
          <w:p>
            <w:r>
              <w:t>0,037</w:t>
            </w:r>
          </w:p>
        </w:tc>
        <w:tc>
          <w:tcPr>
            <w:tcW w:type="dxa" w:w="1984"/>
          </w:tcPr>
          <w:p>
            <w:r>
              <w:t>[0,008; 0,262]</w:t>
            </w:r>
          </w:p>
        </w:tc>
        <w:tc>
          <w:tcPr>
            <w:tcW w:type="dxa" w:w="1984"/>
          </w:tcPr>
          <w:p>
            <w:r>
              <w:t>значим</w:t>
            </w:r>
          </w:p>
        </w:tc>
      </w:tr>
    </w:tbl>
    <w:sectPr>
      <w:pgSz w:w="11906" w:h="16838"/>
      <w:pgMar w:top="1134" w:right="850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300" w:lineRule="auto"/>
    </w:pPr>
  </w:style>
  <w:style w:type="paragraph" w:styleId="Title">
    <w:name w:val="Title"/>
    <w:basedOn w:val="Normal"/>
    <w:rPr>
      <w:b/>
      <w:color w:val="17324D"/>
    </w:rPr>
    <w:pPr>
      <w:spacing w:after="240"/>
    </w:pPr>
  </w:style>
  <w:style w:type="paragraph" w:styleId="Heading1">
    <w:name w:val="heading 1"/>
    <w:basedOn w:val="Normal"/>
    <w:rPr>
      <w:b/>
      <w:color w:val="17324D"/>
    </w:rPr>
    <w:pPr>
      <w:keepNext/>
      <w:spacing w:before="220" w:after="10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