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>Краткое описание курсовой работы</w:t>
      </w:r>
    </w:p>
    <w:p>
      <w:pPr>
        <w:jc w:val="center"/>
      </w:pPr>
      <w:r>
        <w:t>Анализ данных розничной торговли с помощью множественной регрессии</w:t>
      </w:r>
    </w:p>
    <w:p>
      <w:pPr>
        <w:jc w:val="center"/>
      </w:pPr>
      <w:r>
        <w:t>КФУ · математическая статистика · 2026</w:t>
      </w:r>
    </w:p>
    <w:p>
      <w:pPr>
        <w:pStyle w:val="Heading1"/>
      </w:pPr>
      <w:r>
        <w:t>Тема и вопрос</w:t>
      </w:r>
    </w:p>
    <w:p>
      <w:r>
        <w:t>Цель работы — подготовить данные и с помощью множественной регрессии оценить связь общей цены с покупательским спросом, конкурентными ценами и характеристиками товара. Результаты описывают связи, а не причинность.</w:t>
      </w:r>
    </w:p>
    <w:p>
      <w:pPr>
        <w:pStyle w:val="Heading1"/>
      </w:pPr>
      <w:r>
        <w:t>Данные и метод</w:t>
      </w:r>
    </w:p>
    <w:p>
      <w:r>
        <w:t>Набор Retail Price содержит 676 наблюдений и 30 столбцов по 52 товарам за 2017–2018 годы. Пропусков и дубликатов нет; все строки сохранены. В итоговой модели шесть факторов: покупатели, цены трёх конкурентов, вес и число фото в карточке. Ошибки кластеризуются по товару.</w:t>
      </w:r>
    </w:p>
    <w:p>
      <w:r>
        <w:t>В итоговой модели: R² = 0,311, скорректированный R² = 0,305. Максимальная корреляция включённых факторов — 0,582; VIF равен 1,06–1,84.</w:t>
      </w:r>
    </w:p>
    <w:p>
      <w:pPr>
        <w:pStyle w:val="Heading1"/>
        <w:spacing w:before="140"/>
      </w:pPr>
      <w:r>
        <w:rPr>
          <w:b/>
        </w:rPr>
        <w:t>Предварительная очистка</w:t>
      </w:r>
    </w:p>
    <w:p>
      <w:pPr>
        <w:pStyle w:val="Heading1"/>
      </w:pPr>
      <w:r>
        <w:t>Выбраны покупатели как показатель спроса, все три цены как описание конкуренции, вес как физическая характеристика и число фотографий как контроль полноты карточки. unit_price и qty почти воспроизводят total_price (расхождение меньше 0,3% в 95% строк). lag_price почти дублирует unit_price (r=0,9945); смысл s неоднозначен. freight_price — отдельная доставка, не включённая в total_price, и содержит ноль; девять категорий потребовали бы восемь индикаторов.</w:t>
      </w:r>
    </w:p>
    <w:p>
      <w:pPr>
        <w:pStyle w:val="Heading1"/>
      </w:pPr>
      <w:r>
        <w:t>Число фотографий добавлено как контроль, но его коэффициент незначим (p=0,154). Проверка product_score и volume не улучшила скорректированный R². VIF факторов — 1,06–1,84, ниже ориентировочного уровня 5; включённые признаки сохранены.</w:t>
      </w:r>
    </w:p>
    <w:p>
      <w:pPr>
        <w:pStyle w:val="Heading1"/>
      </w:pPr>
      <w:r>
        <w:t>Результаты расширенной модели</w:t>
      </w:r>
    </w:p>
    <w:p>
      <w:r>
        <w:t>При одновременном учёте конкурентов значим коэффициент comp_2. Для comp_1, comp_3 и числа фотографий индивидуальная связь не подтверждена. Покупатели и вес значимы на уровне 5%.</w:t>
      </w:r>
    </w:p>
    <w:p>
      <w:pPr>
        <w:keepNext/>
      </w:pPr>
      <w:r>
        <w:t>Совместная проверка</w:t>
      </w:r>
    </w:p>
    <w:p>
      <w:pPr>
        <w:pStyle w:val="Heading1"/>
        <w:keepLines/>
      </w:pPr>
      <w:r>
        <w:t>Цены конкурентов значимы совместно: F(3, 51) = 11,24, p &lt; 0,001. Модель в целом значима: F(6, 51) = 23,98, p &lt; 0,001. Совместная значимость не означает, что каждый конкурент значим отдельно.</w:t>
      </w:r>
    </w:p>
    <w:p>
      <w:pPr>
        <w:keepNext/>
      </w:pPr>
      <w:r>
        <w:t>Вывод и ограничения</w:t>
      </w:r>
    </w:p>
    <w:p>
      <w:pPr>
        <w:keepLines/>
      </w:pPr>
      <w:r>
        <w:t>В отдельных моделях положительная связь выявлена для каждого конкурента; наибольший скорректированный R² у comp_2. В множественной модели comp_2 значим отдельно, все цены конкурентов — совместно. Сравнение не проверяет прогноз на новых данных; причинный вывод невозможен.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Фактор</w:t>
            </w:r>
          </w:p>
        </w:tc>
        <w:tc>
          <w:tcPr>
            <w:tcW w:type="dxa" w:w="1984"/>
          </w:tcPr>
          <w:p>
            <w:r>
              <w:t>Коэф.</w:t>
            </w:r>
          </w:p>
        </w:tc>
        <w:tc>
          <w:tcPr>
            <w:tcW w:type="dxa" w:w="1984"/>
          </w:tcPr>
          <w:p>
            <w:r>
              <w:t>p-value</w:t>
            </w:r>
          </w:p>
        </w:tc>
        <w:tc>
          <w:tcPr>
            <w:tcW w:type="dxa" w:w="1984"/>
          </w:tcPr>
          <w:p>
            <w:r>
              <w:t>95% интервал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Число покупателей</w:t>
            </w:r>
          </w:p>
        </w:tc>
        <w:tc>
          <w:tcPr>
            <w:tcW w:type="dxa" w:w="1984"/>
          </w:tcPr>
          <w:p>
            <w:r>
              <w:t>0,550</w:t>
            </w:r>
          </w:p>
        </w:tc>
        <w:tc>
          <w:tcPr>
            <w:tcW w:type="dxa" w:w="1984"/>
          </w:tcPr>
          <w:p>
            <w:r>
              <w:t>&lt;0,001</w:t>
            </w:r>
          </w:p>
        </w:tc>
        <w:tc>
          <w:tcPr>
            <w:tcW w:type="dxa" w:w="1984"/>
          </w:tcPr>
          <w:p>
            <w:r>
              <w:t>[0,430; 0,671]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  <w:tr>
        <w:tc>
          <w:tcPr>
            <w:tcW w:type="dxa" w:w="1984"/>
          </w:tcPr>
          <w:p>
            <w:r>
              <w:t>Цена конкурента 1</w:t>
            </w:r>
          </w:p>
        </w:tc>
        <w:tc>
          <w:tcPr>
            <w:tcW w:type="dxa" w:w="1984"/>
          </w:tcPr>
          <w:p>
            <w:r>
              <w:t>0,024</w:t>
            </w:r>
          </w:p>
        </w:tc>
        <w:tc>
          <w:tcPr>
            <w:tcW w:type="dxa" w:w="1984"/>
          </w:tcPr>
          <w:p>
            <w:r>
              <w:t>0,856</w:t>
            </w:r>
          </w:p>
        </w:tc>
        <w:tc>
          <w:tcPr>
            <w:tcW w:type="dxa" w:w="1984"/>
          </w:tcPr>
          <w:p>
            <w:r>
              <w:t>[−0,244; 0,293]</w:t>
            </w:r>
          </w:p>
        </w:tc>
        <w:tc>
          <w:tcPr>
            <w:tcW w:type="dxa" w:w="1984"/>
          </w:tcPr>
          <w:p>
            <w:r>
              <w:t>не подтверждён</w:t>
            </w:r>
          </w:p>
        </w:tc>
      </w:tr>
      <w:tr>
        <w:tc>
          <w:tcPr>
            <w:tcW w:type="dxa" w:w="1984"/>
          </w:tcPr>
          <w:p>
            <w:r>
              <w:t>Цена конкурента 2</w:t>
            </w:r>
          </w:p>
        </w:tc>
        <w:tc>
          <w:tcPr>
            <w:tcW w:type="dxa" w:w="1984"/>
          </w:tcPr>
          <w:p>
            <w:r>
              <w:t>0,594</w:t>
            </w:r>
          </w:p>
        </w:tc>
        <w:tc>
          <w:tcPr>
            <w:tcW w:type="dxa" w:w="1984"/>
          </w:tcPr>
          <w:p>
            <w:r>
              <w:t>0,0027</w:t>
            </w:r>
          </w:p>
        </w:tc>
        <w:tc>
          <w:tcPr>
            <w:tcW w:type="dxa" w:w="1984"/>
          </w:tcPr>
          <w:p>
            <w:r>
              <w:t>[0,216; 0,971]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  <w:tr>
        <w:tc>
          <w:tcPr>
            <w:tcW w:type="dxa" w:w="1984"/>
          </w:tcPr>
          <w:p>
            <w:r>
              <w:t>Цена конкурента 3</w:t>
            </w:r>
          </w:p>
        </w:tc>
        <w:tc>
          <w:tcPr>
            <w:tcW w:type="dxa" w:w="1984"/>
          </w:tcPr>
          <w:p>
            <w:r>
              <w:t>0,224</w:t>
            </w:r>
          </w:p>
        </w:tc>
        <w:tc>
          <w:tcPr>
            <w:tcW w:type="dxa" w:w="1984"/>
          </w:tcPr>
          <w:p>
            <w:r>
              <w:t>0,274</w:t>
            </w:r>
          </w:p>
        </w:tc>
        <w:tc>
          <w:tcPr>
            <w:tcW w:type="dxa" w:w="1984"/>
          </w:tcPr>
          <w:p>
            <w:r>
              <w:t>[−0,183; 0,630]</w:t>
            </w:r>
          </w:p>
        </w:tc>
        <w:tc>
          <w:tcPr>
            <w:tcW w:type="dxa" w:w="1984"/>
          </w:tcPr>
          <w:p>
            <w:r>
              <w:t>не подтверждён</w:t>
            </w:r>
          </w:p>
        </w:tc>
      </w:tr>
      <w:tr>
        <w:tc>
          <w:tcPr>
            <w:tcW w:type="dxa" w:w="1984"/>
          </w:tcPr>
          <w:p>
            <w:r>
              <w:t>Вес товара</w:t>
            </w:r>
          </w:p>
        </w:tc>
        <w:tc>
          <w:tcPr>
            <w:tcW w:type="dxa" w:w="1984"/>
          </w:tcPr>
          <w:p>
            <w:r>
              <w:t>0,152</w:t>
            </w:r>
          </w:p>
        </w:tc>
        <w:tc>
          <w:tcPr>
            <w:tcW w:type="dxa" w:w="1984"/>
          </w:tcPr>
          <w:p>
            <w:r>
              <w:t>0,0124</w:t>
            </w:r>
          </w:p>
        </w:tc>
        <w:tc>
          <w:tcPr>
            <w:tcW w:type="dxa" w:w="1984"/>
          </w:tcPr>
          <w:p>
            <w:r>
              <w:t>[0,034; 0,270]</w:t>
            </w:r>
          </w:p>
        </w:tc>
        <w:tc>
          <w:tcPr>
            <w:tcW w:type="dxa" w:w="1984"/>
          </w:tcPr>
          <w:p>
            <w:r>
              <w:t>значим</w:t>
            </w:r>
          </w:p>
        </w:tc>
      </w:tr>
      <w:tr>
        <w:tc>
          <w:tcPr>
            <w:tcW w:type="dxa" w:w="1984"/>
          </w:tcPr>
          <w:p>
            <w:r>
              <w:t>Число фотографий</w:t>
            </w:r>
          </w:p>
        </w:tc>
        <w:tc>
          <w:tcPr>
            <w:tcW w:type="dxa" w:w="1984"/>
          </w:tcPr>
          <w:p>
            <w:r>
              <w:t>0,100</w:t>
            </w:r>
          </w:p>
        </w:tc>
        <w:tc>
          <w:tcPr>
            <w:tcW w:type="dxa" w:w="1984"/>
          </w:tcPr>
          <w:p>
            <w:r>
              <w:t>0,154</w:t>
            </w:r>
          </w:p>
        </w:tc>
        <w:tc>
          <w:tcPr>
            <w:tcW w:type="dxa" w:w="1984"/>
          </w:tcPr>
          <w:p>
            <w:r>
              <w:t>[−0,039; 0,240]</w:t>
            </w:r>
          </w:p>
        </w:tc>
        <w:tc>
          <w:tcPr>
            <w:tcW w:type="dxa" w:w="1984"/>
          </w:tcPr>
          <w:p>
            <w:r>
              <w:t>не подтверждён</w:t>
            </w:r>
          </w:p>
        </w:tc>
      </w:tr>
    </w:tbl>
    <w:sectPr>
      <w:pgSz w:w="11906" w:h="16838"/>
      <w:pgMar w:top="1134" w:right="850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300" w:lineRule="auto"/>
    </w:pPr>
  </w:style>
  <w:style w:type="paragraph" w:styleId="Title">
    <w:name w:val="Title"/>
    <w:basedOn w:val="Normal"/>
    <w:rPr>
      <w:b/>
      <w:color w:val="17324D"/>
    </w:rPr>
    <w:pPr>
      <w:spacing w:after="240"/>
    </w:pPr>
  </w:style>
  <w:style w:type="paragraph" w:styleId="Heading1">
    <w:name w:val="heading 1"/>
    <w:basedOn w:val="Normal"/>
    <w:rPr>
      <w:b/>
      <w:color w:val="17324D"/>
    </w:rPr>
    <w:pPr>
      <w:keepNext/>
      <w:spacing w:before="220" w:after="10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