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Множественная линейная регрессия: статистический вывод,</w:t>
        <w:br/>
        <w:t>диагностика предпосылок и сравнение методов оценивания</w:t>
        <w:br/>
        <w:t>(на примере данных розничной торговли)</w:t>
      </w:r>
    </w:p>
    <w:p>
      <w:pPr>
        <w:spacing w:after="360"/>
        <w:jc w:val="center"/>
      </w:pPr>
      <w:r>
        <w:rPr>
          <w:i/>
        </w:rPr>
        <w:t>Краткое описание курсовой работы</w:t>
      </w:r>
    </w:p>
    <w:p>
      <w:pPr>
        <w:pStyle w:val="Heading1"/>
        <w:jc w:val="left"/>
      </w:pPr>
      <w:r>
        <w:t>1. О чём работа</w:t>
      </w:r>
    </w:p>
    <w:p>
      <w:pPr>
        <w:spacing w:after="80"/>
      </w:pPr>
      <w:r>
        <w:t>Курсовая работа выполнена по дисциплине «Математическая статистика» на кафедре математической статистики КФУ. Основная цель — провести полноценное статистическое исследование факторов, влияющих на розничную цену товара, с использованием аппарата множественной линейной регрессии. Акцент сделан именно на статистическом выводе: оценивании параметров, проверке гипотез, построении доверительных интервалов и сравнении методов оценивания — в отличие от задач машинного обучения, где главное — качество предсказания.</w:t>
      </w:r>
    </w:p>
    <w:p>
      <w:pPr>
        <w:pStyle w:val="Heading1"/>
        <w:jc w:val="left"/>
      </w:pPr>
      <w:r>
        <w:t>2. Данные</w:t>
      </w:r>
    </w:p>
    <w:p>
      <w:pPr>
        <w:spacing w:after="80"/>
      </w:pPr>
      <w:r>
        <w:t>Используется датасет Retail Price — панель электронной коммерции, содержащая 676 наблюдений (52 товара × 20 месяцев, 2017–2018 гг.) и 30 переменных. Целевая переменная — общая стоимость товара (total_price). Предикторы охватывают характеристики товара (вес, объём, число фотографий, длина описания), рыночную среду (число покупателей, цены трёх конкурентов, число продаж/обзоров), а также временны́е индикаторы (месяц, день недели, праздники). Переменные с прямой утечкой данных (unit_price, lag_price, qty) исключены из анализа.</w:t>
      </w:r>
    </w:p>
    <w:p>
      <w:pPr>
        <w:pStyle w:val="Heading1"/>
        <w:jc w:val="left"/>
      </w:pPr>
      <w:r>
        <w:t>3. Что исследуется</w:t>
      </w:r>
    </w:p>
    <w:p>
      <w:pPr>
        <w:spacing w:after="80"/>
      </w:pPr>
      <w:r>
        <w:t>Построена логарифмическая МНК-модель (ln total_price ~ предикторы) с последующей полной диагностикой предпосылок классической линейной модели:</w:t>
      </w:r>
    </w:p>
    <w:p>
      <w:pPr>
        <w:pStyle w:val="ListBullet"/>
        <w:spacing w:after="40"/>
      </w:pPr>
      <w:r>
        <w:t>нормальность остатков (тесты Шапиро–Уилка, Жарка–Бера, Колмогорова–Смирнова);</w:t>
      </w:r>
    </w:p>
    <w:p>
      <w:pPr>
        <w:pStyle w:val="ListBullet"/>
        <w:spacing w:after="40"/>
      </w:pPr>
      <w:r>
        <w:t>гомоскедастичность (тест Бройша–Пагана);</w:t>
      </w:r>
    </w:p>
    <w:p>
      <w:pPr>
        <w:pStyle w:val="ListBullet"/>
        <w:spacing w:after="40"/>
      </w:pPr>
      <w:r>
        <w:t>независимость ошибок (Дарбин–Уотсон, Бройш–Годфри) — критично для панельных данных;</w:t>
      </w:r>
    </w:p>
    <w:p>
      <w:pPr>
        <w:pStyle w:val="ListBullet"/>
        <w:spacing w:after="40"/>
      </w:pPr>
      <w:r>
        <w:t>мультиколлинеарность (VIF, число обусловленности);</w:t>
      </w:r>
    </w:p>
    <w:p>
      <w:pPr>
        <w:pStyle w:val="ListBullet"/>
        <w:spacing w:after="40"/>
      </w:pPr>
      <w:r>
        <w:t>выбросы и влиятельные наблюдения (leverage, расстояние Кука, DFFITS).</w:t>
      </w:r>
    </w:p>
    <w:p/>
    <w:p>
      <w:pPr>
        <w:spacing w:after="80"/>
      </w:pPr>
      <w:r>
        <w:t>Четыре из пяти предпосылок нарушены, что обосновывает применение расширенного набора методов:</w:t>
      </w:r>
    </w:p>
    <w:p>
      <w:pPr>
        <w:pStyle w:val="ListBullet"/>
        <w:spacing w:after="40"/>
      </w:pPr>
      <w:r>
        <w:t>HC3 и кластерные стандартные ошибки — против гетероскедастичности и панельной зависимости;</w:t>
      </w:r>
    </w:p>
    <w:p>
      <w:pPr>
        <w:pStyle w:val="ListBullet"/>
        <w:spacing w:after="40"/>
      </w:pPr>
      <w:r>
        <w:t>WLS (FGLS) — эффективное оценивание при известной структуре дисперсии;</w:t>
      </w:r>
    </w:p>
    <w:p>
      <w:pPr>
        <w:pStyle w:val="ListBullet"/>
        <w:spacing w:after="40"/>
      </w:pPr>
      <w:r>
        <w:t>Ridge и Lasso — стабилизация оценок и отбор признаков при мультиколлинеарности;</w:t>
      </w:r>
    </w:p>
    <w:p>
      <w:pPr>
        <w:pStyle w:val="ListBullet"/>
        <w:spacing w:after="40"/>
      </w:pPr>
      <w:r>
        <w:t>робастная регрессия Хубера — снижение чувствительности к умеренным выбросам.</w:t>
      </w:r>
    </w:p>
    <w:p/>
    <w:p>
      <w:pPr>
        <w:pStyle w:val="Heading1"/>
        <w:jc w:val="left"/>
      </w:pPr>
      <w:r>
        <w:t>4. Ресэмплинговый инференс</w:t>
      </w:r>
    </w:p>
    <w:p>
      <w:pPr>
        <w:spacing w:after="80"/>
      </w:pPr>
      <w:r>
        <w:t>Дополнительно реализован bootstrap-анализ (B = 5000 реплик): три схемы — pairs, wild (Радемахер) и cluster bootstrap по товарам — с построением перцентильных и BCa-доверительных интервалов. Результат: при n = 676 асимптотические t-интервалы и bootstrap-интервалы практически совпадают, что подтверждает корректность нормальной аппроксимации несмотря на отвергнутую нормальность остатков.</w:t>
      </w:r>
    </w:p>
    <w:p>
      <w:pPr>
        <w:pStyle w:val="Heading1"/>
        <w:jc w:val="left"/>
      </w:pPr>
      <w:r>
        <w:t>5. Основные выводы</w:t>
      </w:r>
    </w:p>
    <w:p>
      <w:pPr>
        <w:spacing w:after="80"/>
      </w:pPr>
      <w:r>
        <w:t>Из 31 предиктора устойчивую значимость по всем методам показали четыре фактора (эластичности цены):</w:t>
      </w:r>
    </w:p>
    <w:p>
      <w:pPr>
        <w:pStyle w:val="ListBullet"/>
        <w:spacing w:after="40"/>
      </w:pPr>
      <w:r>
        <w:t>число продаж/обзоров (log_s):  +0.66% цены на +1% оборота;</w:t>
      </w:r>
    </w:p>
    <w:p>
      <w:pPr>
        <w:pStyle w:val="ListBullet"/>
        <w:spacing w:after="40"/>
      </w:pPr>
      <w:r>
        <w:t>число покупателей (log_customers):  +0.47%;</w:t>
      </w:r>
    </w:p>
    <w:p>
      <w:pPr>
        <w:pStyle w:val="ListBullet"/>
        <w:spacing w:after="40"/>
      </w:pPr>
      <w:r>
        <w:t>цена третьего конкурента (log_comp_3):  +0.57% — ценовая координация на рынке;</w:t>
      </w:r>
    </w:p>
    <w:p>
      <w:pPr>
        <w:pStyle w:val="ListBullet"/>
        <w:spacing w:after="40"/>
      </w:pPr>
      <w:r>
        <w:t>вес товара (log_product_weight_g):  +0.28% — прокси производственных и логистических затрат.</w:t>
      </w:r>
    </w:p>
    <w:p/>
    <w:p>
      <w:pPr>
        <w:spacing w:after="80"/>
      </w:pPr>
      <w:r>
        <w:t>Ещё четыре предиктора значимы в классических тестах, но теряют значимость при консервативном cluster bootstrap, что отражает специфику панельной структуры данных.</w:t>
      </w:r>
    </w:p>
    <w:p/>
    <w:p>
      <w:pPr>
        <w:pStyle w:val="Heading1"/>
        <w:jc w:val="left"/>
      </w:pPr>
      <w:r>
        <w:t>6. Структура работы</w:t>
      </w:r>
    </w:p>
    <w:p>
      <w:pPr>
        <w:spacing w:after="60"/>
      </w:pPr>
      <w:r>
        <w:rPr>
          <w:b/>
        </w:rPr>
        <w:t>Глава 1. Теория.</w:t>
      </w:r>
      <w:r>
        <w:t xml:space="preserve"> Матричная запись МНК, предпосылки КЛМ, вывод оценки, теорема Гаусса–Маркова, t- и F-тесты, информационные критерии.</w:t>
      </w:r>
    </w:p>
    <w:p>
      <w:pPr>
        <w:spacing w:after="60"/>
      </w:pPr>
      <w:r>
        <w:rPr>
          <w:b/>
        </w:rPr>
        <w:t>Глава 2. Диагностика.</w:t>
      </w:r>
      <w:r>
        <w:t xml:space="preserve"> Формальная проверка каждой из предпосылок с результатами по реальным данным.</w:t>
      </w:r>
    </w:p>
    <w:p>
      <w:pPr>
        <w:spacing w:after="60"/>
      </w:pPr>
      <w:r>
        <w:rPr>
          <w:b/>
        </w:rPr>
        <w:t>Глава 3. Альтернативные методы.</w:t>
      </w:r>
      <w:r>
        <w:t xml:space="preserve"> HC/Cluster SE, WLS, Ridge, Lasso, Хубер; сравнительная таблица устойчивости.</w:t>
      </w:r>
    </w:p>
    <w:p>
      <w:pPr>
        <w:spacing w:after="60"/>
      </w:pPr>
      <w:r>
        <w:rPr>
          <w:b/>
        </w:rPr>
        <w:t>Глава 4. Bootstrap.</w:t>
      </w:r>
      <w:r>
        <w:t xml:space="preserve"> Теория ресэмплинга, три схемы bootstrap, перцентильные и BCa-интервалы.</w:t>
      </w:r>
    </w:p>
    <w:p>
      <w:pPr>
        <w:spacing w:after="60"/>
      </w:pPr>
      <w:r>
        <w:rPr>
          <w:b/>
        </w:rPr>
        <w:t>Глава 5. Прикладная часть.</w:t>
      </w:r>
      <w:r>
        <w:t xml:space="preserve"> EDA, подготовка данных, базовая модель, диагностика, альтернативные модели, bootstrap, итоговая интерпретация.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