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jc w:val="center"/>
      </w:pPr>
      <w:r>
        <w:rPr>
          <w:rFonts w:ascii="Arial" w:hAnsi="Arial" w:eastAsia="Arial"/>
          <w:b/>
          <w:sz w:val="34"/>
          <w:color w:val="17324D"/>
        </w:rPr>
        <w:t xml:space="preserve">Краткое описание курсовой работы</w:t>
      </w:r>
    </w:p>
    <w:p>
      <w:pPr>
        <w:jc w:val="center"/>
      </w:pPr>
      <w:r>
        <w:rPr>
          <w:rFonts w:ascii="Arial" w:hAnsi="Arial" w:eastAsia="Arial"/>
          <w:sz w:val="24"/>
          <w:color w:val="2F8F83"/>
        </w:rPr>
        <w:t xml:space="preserve">Линейная регрессия для анализа факторов, связанных с ценой товара</w:t>
      </w:r>
    </w:p>
    <w:p>
      <w:pPr>
        <w:jc w:val="center"/>
      </w:pPr>
      <w:r>
        <w:rPr>
          <w:rFonts w:ascii="Arial" w:hAnsi="Arial" w:eastAsia="Arial"/>
          <w:sz w:val="20"/>
          <w:color w:val="526575"/>
        </w:rPr>
        <w:t xml:space="preserve">КФУ · математическая статистика · 2026</w:t>
      </w:r>
    </w:p>
    <w:p>
      <w:pPr>
        <w:pStyle w:val="Heading1"/>
      </w:pPr>
      <w:r>
        <w:rPr>
          <w:rFonts w:ascii="Arial" w:hAnsi="Arial" w:eastAsia="Arial"/>
          <w:b/>
          <w:sz w:val="26"/>
          <w:color w:val="17324D"/>
        </w:rPr>
        <w:t xml:space="preserve">Тема и вопрос</w:t>
      </w:r>
    </w:p>
    <w:p>
      <w:r>
        <w:rPr>
          <w:rFonts w:ascii="Arial" w:hAnsi="Arial" w:eastAsia="Arial"/>
          <w:sz w:val="22"/>
          <w:color w:val="1E2933"/>
        </w:rPr>
        <w:t xml:space="preserve">Цель работы — оценить, как общая цена товара связана с числом покупателей, ценой третьего конкурента и весом товара. Результаты описывают статистические связи и не доказывают причинность.</w:t>
      </w:r>
    </w:p>
    <w:p>
      <w:pPr>
        <w:pStyle w:val="Heading1"/>
      </w:pPr>
      <w:r>
        <w:rPr>
          <w:rFonts w:ascii="Arial" w:hAnsi="Arial" w:eastAsia="Arial"/>
          <w:b/>
          <w:sz w:val="26"/>
          <w:color w:val="17324D"/>
        </w:rPr>
        <w:t xml:space="preserve">Данные и метод</w:t>
      </w:r>
    </w:p>
    <w:p>
      <w:r>
        <w:rPr>
          <w:rFonts w:ascii="Arial" w:hAnsi="Arial" w:eastAsia="Arial"/>
          <w:sz w:val="22"/>
          <w:color w:val="1E2933"/>
        </w:rPr>
        <w:t xml:space="preserve">Датасет Retail Price содержит 676 наблюдений по 52 товарам за 2017–2018 годы. Оценена одна логарифмическая модель МНК. Стандартные ошибки сгруппированы по товару, потому что один товар наблюдается несколько раз. Для коэффициентов использованы t-проверка, p-value и 95%-ные доверительные интервалы; уровень значимости — 5%.</w:t>
      </w:r>
    </w:p>
    <w:p>
      <w:r>
        <w:rPr>
          <w:rFonts w:ascii="Arial" w:hAnsi="Arial" w:eastAsia="Arial"/>
          <w:sz w:val="22"/>
          <w:color w:val="1E2933"/>
        </w:rPr>
        <w:t xml:space="preserve">Средняя общая цена — 1 422,71, медианная — 807,89; описательная статистика также рассчитана для трёх факторов.</w:t>
      </w:r>
    </w:p>
    <w:p>
      <w:pPr>
        <w:pStyle w:val="Heading1"/>
      </w:pPr>
      <w:r>
        <w:rPr>
          <w:rFonts w:ascii="Arial" w:hAnsi="Arial" w:eastAsia="Arial"/>
          <w:b/>
          <w:sz w:val="26"/>
          <w:color w:val="17324D"/>
        </w:rPr>
        <w:t xml:space="preserve">Результаты</w:t>
      </w:r>
    </w:p>
    <w:tbl>
      <w:tblPr>
        <w:tblW w:w="0" w:type="auto"/>
        <w:tblBorders>
          <w:top w:val="single" w:sz="4" w:color="D8E5EB"/>
          <w:left w:val="single" w:sz="4" w:color="D8E5EB"/>
          <w:bottom w:val="single" w:sz="4" w:color="D8E5EB"/>
          <w:right w:val="single" w:sz="4" w:color="D8E5EB"/>
          <w:insideH w:val="single" w:sz="4" w:color="D8E5EB"/>
          <w:insideV w:val="single" w:sz="4" w:color="D8E5EB"/>
        </w:tblBorders>
      </w:tblPr>
      <w:tr>
        <w:tc>
          <w:tcPr>
            <w:tcW w:w="2100" w:type="dxa"/>
            <w:shd w:fill="17324D"/>
          </w:tcPr>
          <w:p>
            <w:r>
              <w:rPr>
                <w:rFonts w:ascii="Arial" w:hAnsi="Arial" w:eastAsia="Arial"/>
                <w:b/>
                <w:sz w:val="18"/>
                <w:color w:val="FFFFFF"/>
              </w:rPr>
              <w:t xml:space="preserve">Фактор</w:t>
            </w:r>
          </w:p>
        </w:tc>
        <w:tc>
          <w:tcPr>
            <w:tcW w:w="2100" w:type="dxa"/>
            <w:shd w:fill="17324D"/>
          </w:tcPr>
          <w:p>
            <w:r>
              <w:rPr>
                <w:rFonts w:ascii="Arial" w:hAnsi="Arial" w:eastAsia="Arial"/>
                <w:b/>
                <w:sz w:val="18"/>
                <w:color w:val="FFFFFF"/>
              </w:rPr>
              <w:t xml:space="preserve">Коэф.</w:t>
            </w:r>
          </w:p>
        </w:tc>
        <w:tc>
          <w:tcPr>
            <w:tcW w:w="2100" w:type="dxa"/>
            <w:shd w:fill="17324D"/>
          </w:tcPr>
          <w:p>
            <w:r>
              <w:rPr>
                <w:rFonts w:ascii="Arial" w:hAnsi="Arial" w:eastAsia="Arial"/>
                <w:b/>
                <w:sz w:val="18"/>
                <w:color w:val="FFFFFF"/>
              </w:rPr>
              <w:t xml:space="preserve">p-value</w:t>
            </w:r>
          </w:p>
        </w:tc>
        <w:tc>
          <w:tcPr>
            <w:tcW w:w="2100" w:type="dxa"/>
            <w:shd w:fill="17324D"/>
          </w:tcPr>
          <w:p>
            <w:r>
              <w:rPr>
                <w:rFonts w:ascii="Arial" w:hAnsi="Arial" w:eastAsia="Arial"/>
                <w:b/>
                <w:sz w:val="18"/>
                <w:color w:val="FFFFFF"/>
              </w:rPr>
              <w:t xml:space="preserve">95% интервал</w:t>
            </w:r>
          </w:p>
        </w:tc>
        <w:tc>
          <w:tcPr>
            <w:tcW w:w="2100" w:type="dxa"/>
            <w:shd w:fill="17324D"/>
          </w:tcPr>
          <w:p>
            <w:r>
              <w:rPr>
                <w:rFonts w:ascii="Arial" w:hAnsi="Arial" w:eastAsia="Arial"/>
                <w:b/>
                <w:sz w:val="18"/>
                <w:color w:val="FFFFFF"/>
              </w:rPr>
              <w:t xml:space="preserve">Итог</w:t>
            </w:r>
          </w:p>
        </w:tc>
      </w:tr>
      <w:tr>
        <w:tc>
          <w:tcPr>
            <w:tcW w:w="2100" w:type="dxa"/>
          </w:tcPr>
          <w:p>
            <w:r>
              <w:rPr>
                <w:rFonts w:ascii="Arial" w:hAnsi="Arial" w:eastAsia="Arial"/>
                <w:sz w:val="18"/>
                <w:color w:val="1E2933"/>
              </w:rPr>
              <w:t xml:space="preserve">Число покупателей</w:t>
            </w:r>
          </w:p>
        </w:tc>
        <w:tc>
          <w:tcPr>
            <w:tcW w:w="2100" w:type="dxa"/>
          </w:tcPr>
          <w:p>
            <w:r>
              <w:rPr>
                <w:rFonts w:ascii="Arial" w:hAnsi="Arial" w:eastAsia="Arial"/>
                <w:sz w:val="18"/>
                <w:color w:val="1E2933"/>
              </w:rPr>
              <w:t xml:space="preserve">0,541</w:t>
            </w:r>
          </w:p>
        </w:tc>
        <w:tc>
          <w:tcPr>
            <w:tcW w:w="2100" w:type="dxa"/>
          </w:tcPr>
          <w:p>
            <w:r>
              <w:rPr>
                <w:rFonts w:ascii="Arial" w:hAnsi="Arial" w:eastAsia="Arial"/>
                <w:sz w:val="18"/>
                <w:color w:val="1E2933"/>
              </w:rPr>
              <w:t xml:space="preserve">4,80·10⁻¹²</w:t>
            </w:r>
          </w:p>
        </w:tc>
        <w:tc>
          <w:tcPr>
            <w:tcW w:w="2100" w:type="dxa"/>
          </w:tcPr>
          <w:p>
            <w:r>
              <w:rPr>
                <w:rFonts w:ascii="Arial" w:hAnsi="Arial" w:eastAsia="Arial"/>
                <w:sz w:val="18"/>
                <w:color w:val="1E2933"/>
              </w:rPr>
              <w:t xml:space="preserve">[0,419; 0,662]</w:t>
            </w:r>
          </w:p>
        </w:tc>
        <w:tc>
          <w:tcPr>
            <w:tcW w:w="2100" w:type="dxa"/>
          </w:tcPr>
          <w:p>
            <w:r>
              <w:rPr>
                <w:rFonts w:ascii="Arial" w:hAnsi="Arial" w:eastAsia="Arial"/>
                <w:sz w:val="18"/>
                <w:color w:val="1E2933"/>
              </w:rPr>
              <w:t xml:space="preserve">значим</w:t>
            </w:r>
          </w:p>
        </w:tc>
      </w:tr>
      <w:tr>
        <w:tc>
          <w:tcPr>
            <w:tcW w:w="2100" w:type="dxa"/>
          </w:tcPr>
          <w:p>
            <w:r>
              <w:rPr>
                <w:rFonts w:ascii="Arial" w:hAnsi="Arial" w:eastAsia="Arial"/>
                <w:sz w:val="18"/>
                <w:color w:val="1E2933"/>
              </w:rPr>
              <w:t xml:space="preserve">Цена конкурента 3</w:t>
            </w:r>
          </w:p>
        </w:tc>
        <w:tc>
          <w:tcPr>
            <w:tcW w:w="2100" w:type="dxa"/>
          </w:tcPr>
          <w:p>
            <w:r>
              <w:rPr>
                <w:rFonts w:ascii="Arial" w:hAnsi="Arial" w:eastAsia="Arial"/>
                <w:sz w:val="18"/>
                <w:color w:val="1E2933"/>
              </w:rPr>
              <w:t xml:space="preserve">0,526</w:t>
            </w:r>
          </w:p>
        </w:tc>
        <w:tc>
          <w:tcPr>
            <w:tcW w:w="2100" w:type="dxa"/>
          </w:tcPr>
          <w:p>
            <w:r>
              <w:rPr>
                <w:rFonts w:ascii="Arial" w:hAnsi="Arial" w:eastAsia="Arial"/>
                <w:sz w:val="18"/>
                <w:color w:val="1E2933"/>
              </w:rPr>
              <w:t xml:space="preserve">4,80·10⁻⁴</w:t>
            </w:r>
          </w:p>
        </w:tc>
        <w:tc>
          <w:tcPr>
            <w:tcW w:w="2100" w:type="dxa"/>
          </w:tcPr>
          <w:p>
            <w:r>
              <w:rPr>
                <w:rFonts w:ascii="Arial" w:hAnsi="Arial" w:eastAsia="Arial"/>
                <w:sz w:val="18"/>
                <w:color w:val="1E2933"/>
              </w:rPr>
              <w:t xml:space="preserve">[0,243; 0,809]</w:t>
            </w:r>
          </w:p>
        </w:tc>
        <w:tc>
          <w:tcPr>
            <w:tcW w:w="2100" w:type="dxa"/>
          </w:tcPr>
          <w:p>
            <w:r>
              <w:rPr>
                <w:rFonts w:ascii="Arial" w:hAnsi="Arial" w:eastAsia="Arial"/>
                <w:sz w:val="18"/>
                <w:color w:val="1E2933"/>
              </w:rPr>
              <w:t xml:space="preserve">значим</w:t>
            </w:r>
          </w:p>
        </w:tc>
      </w:tr>
      <w:tr>
        <w:tc>
          <w:tcPr>
            <w:tcW w:w="2100" w:type="dxa"/>
          </w:tcPr>
          <w:p>
            <w:r>
              <w:rPr>
                <w:rFonts w:ascii="Arial" w:hAnsi="Arial" w:eastAsia="Arial"/>
                <w:sz w:val="18"/>
                <w:color w:val="1E2933"/>
              </w:rPr>
              <w:t xml:space="preserve">Вес товара</w:t>
            </w:r>
          </w:p>
        </w:tc>
        <w:tc>
          <w:tcPr>
            <w:tcW w:w="2100" w:type="dxa"/>
          </w:tcPr>
          <w:p>
            <w:r>
              <w:rPr>
                <w:rFonts w:ascii="Arial" w:hAnsi="Arial" w:eastAsia="Arial"/>
                <w:sz w:val="18"/>
                <w:color w:val="1E2933"/>
              </w:rPr>
              <w:t xml:space="preserve">0,126</w:t>
            </w:r>
          </w:p>
        </w:tc>
        <w:tc>
          <w:tcPr>
            <w:tcW w:w="2100" w:type="dxa"/>
          </w:tcPr>
          <w:p>
            <w:r>
              <w:rPr>
                <w:rFonts w:ascii="Arial" w:hAnsi="Arial" w:eastAsia="Arial"/>
                <w:sz w:val="18"/>
                <w:color w:val="1E2933"/>
              </w:rPr>
              <w:t xml:space="preserve">0,090</w:t>
            </w:r>
          </w:p>
        </w:tc>
        <w:tc>
          <w:tcPr>
            <w:tcW w:w="2100" w:type="dxa"/>
          </w:tcPr>
          <w:p>
            <w:r>
              <w:rPr>
                <w:rFonts w:ascii="Arial" w:hAnsi="Arial" w:eastAsia="Arial"/>
                <w:sz w:val="18"/>
                <w:color w:val="1E2933"/>
              </w:rPr>
              <w:t xml:space="preserve">[−0,020; 0,272]</w:t>
            </w:r>
          </w:p>
        </w:tc>
        <w:tc>
          <w:tcPr>
            <w:tcW w:w="2100" w:type="dxa"/>
          </w:tcPr>
          <w:p>
            <w:r>
              <w:rPr>
                <w:rFonts w:ascii="Arial" w:hAnsi="Arial" w:eastAsia="Arial"/>
                <w:sz w:val="18"/>
                <w:color w:val="1E2933"/>
              </w:rPr>
              <w:t xml:space="preserve">не значим</w:t>
            </w:r>
          </w:p>
        </w:tc>
      </w:tr>
    </w:tbl>
    <w:p>
      <w:r>
        <w:rPr>
          <w:rFonts w:ascii="Arial" w:hAnsi="Arial" w:eastAsia="Arial"/>
          <w:sz w:val="22"/>
          <w:color w:val="1E2933"/>
        </w:rPr>
        <w:t xml:space="preserve">В логарифмической модели коэффициенты приблизительно показывают процентное изменение цены при изменении признака на 1%. Число покупателей и цена конкурента связаны с ценой положительно и статистически значимо. Для веса интервал включает ноль, поэтому его значимость на уровне 5% не подтверждена.</w:t>
      </w:r>
    </w:p>
    <w:p>
      <w:r>
        <w:rPr>
          <w:rFonts w:ascii="Arial" w:hAnsi="Arial" w:eastAsia="Arial"/>
          <w:sz w:val="22"/>
          <w:color w:val="1E2933"/>
        </w:rPr>
        <w:t xml:space="preserve">Совместный кластерно-устойчивый тест: F(3, 51) = 46,45, p &lt; 0,001. Значит, модель значима в целом, но не обязательно каждый коэффициент.</w:t>
      </w:r>
    </w:p>
    <w:p>
      <w:pPr>
        <w:pStyle w:val="Heading1"/>
      </w:pPr>
      <w:r>
        <w:rPr>
          <w:rFonts w:ascii="Arial" w:hAnsi="Arial" w:eastAsia="Arial"/>
          <w:b/>
          <w:sz w:val="26"/>
          <w:color w:val="17324D"/>
        </w:rPr>
        <w:t xml:space="preserve">Качество и ограничения</w:t>
      </w:r>
    </w:p>
    <w:p>
      <w:r>
        <w:rPr>
          <w:rFonts w:ascii="Arial" w:hAnsi="Arial" w:eastAsia="Arial"/>
          <w:sz w:val="22"/>
          <w:color w:val="1E2933"/>
        </w:rPr>
        <w:t xml:space="preserve">R² = 0,257: модель описывает около 25,7% разброса логарифма цены в этой выборке. Она включает только три признака, относится к 52 товарам и периоду 2017–2018 годов. Кластерные ошибки учитывают повторные наблюдения, но не заменяют модель индивидуальных эффектов товаров.</w:t>
      </w:r>
    </w:p>
    <w:p>
      <w:r>
        <w:rPr>
          <w:rFonts w:ascii="Arial" w:hAnsi="Arial" w:eastAsia="Arial"/>
          <w:sz w:val="22"/>
          <w:color w:val="1E2933"/>
        </w:rPr>
        <w:t xml:space="preserve">Итог: наиболее ясные связи с общей ценой в этой модели показали число покупателей и цена конкурента. Причинный вывод по этим данным сделать нельзя.</w:t>
      </w:r>
    </w:p>
    <w:sectPr>
      <w:pgSz w:w="11906" w:h="16838"/>
      <w:pgMar w:top="1134" w:right="850" w:bottom="1134" w:left="1134"/>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300" w:lineRule="auto"/>
    </w:pPr>
  </w:style>
  <w:style w:type="paragraph" w:styleId="Title">
    <w:name w:val="Title"/>
    <w:basedOn w:val="Normal"/>
    <w:rPr>
      <w:b/>
      <w:color w:val="17324D"/>
    </w:rPr>
    <w:pPr>
      <w:spacing w:after="240"/>
    </w:pPr>
  </w:style>
  <w:style w:type="paragraph" w:styleId="Heading1">
    <w:name w:val="heading 1"/>
    <w:basedOn w:val="Normal"/>
    <w:rPr>
      <w:b/>
      <w:color w:val="17324D"/>
    </w:rPr>
    <w:pPr>
      <w:keepNext/>
      <w:spacing w:before="220" w:after="10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