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64"/>
          <w:szCs w:val="64"/>
        </w:rPr>
        <w:t xml:space="preserve">FixMate</w:t>
      </w:r>
    </w:p>
    <w:p>
      <w:pPr>
        <w:spacing w:after="200"/>
        <w:jc w:val="center"/>
      </w:pPr>
      <w:r>
        <w:rPr>
          <w:color w:val="444444"/>
          <w:sz w:val="28"/>
          <w:szCs w:val="28"/>
        </w:rPr>
        <w:t xml:space="preserve">An Open, Hyperlocal Marketplace for Home Repair &amp; Roadside Assistance Services</w:t>
      </w:r>
    </w:p>
    <w:p>
      <w:pPr>
        <w:spacing w:before="400"/>
        <w:jc w:val="center"/>
      </w:pPr>
      <w:r>
        <w:rPr>
          <w:i/>
          <w:iCs/>
          <w:color w:val="666666"/>
          <w:sz w:val="22"/>
          <w:szCs w:val="22"/>
        </w:rPr>
        <w:t xml:space="preserve">Research &amp; Concept Paper prepared for Ideathon Submission (v2 — expanded)</w:t>
      </w:r>
    </w:p>
    <w:p>
      <w:pPr>
        <w:spacing w:before="800"/>
        <w:jc w:val="center"/>
      </w:pPr>
      <w:r>
        <w:rPr>
          <w:color w:val="888888"/>
          <w:sz w:val="20"/>
          <w:szCs w:val="20"/>
        </w:rPr>
        <w:t xml:space="preserve">September 2026</w:t>
      </w:r>
    </w:p>
    <w:p>
      <w:r>
        <w:br w:type="page"/>
      </w:r>
    </w:p>
    <w:p>
      <w:pPr>
        <w:pStyle w:val="Heading1"/>
        <w:spacing w:after="200" w:before="360"/>
      </w:pPr>
      <w:r>
        <w:t xml:space="preserve">Abstract</w:t>
      </w:r>
    </w:p>
    <w:p>
      <w:pPr>
        <w:spacing w:after="160" w:line="300"/>
      </w:pPr>
      <w:r>
        <w:t xml:space="preserve">FixMate is a proposed mobile application that connects customers directly with local, verified repair-service providers — electricians, appliance technicians, mechanics, and plumbers — on demand, in the same way ride-hailing apps connect riders to drivers. The platform additionally extends into minor roadside vehicle assistance (tyre punctures, dead batteries, and fuel-out situations), a use case largely unaddressed by home-services platforms in India.</w:t>
      </w:r>
    </w:p>
    <w:p>
      <w:pPr>
        <w:spacing w:after="160" w:line="300"/>
      </w:pPr>
      <w:r>
        <w:t xml:space="preserve">This version of the paper expands significantly on the first draft. It adds a market-sizing and unit-economics analysis, a phased go-to-market and expansion timeline, a fully worked diagnosis-first pricing and change-order system, a cancellation and no-show policy for both sides of the marketplace, a damage/liability framework, a provider-competency verification model, an off-platform-leakage mitigation strategy, an explicit roadside-safety boundary, and a corrected, evidence-based account of how request-matching would actually work. Every number in this paper that is not drawn from a cited public source is explicitly labelled illustrative — a working assumption to be validated, not measured data. The intent remains the same: to serve as the backing research for an ideathon pitch, anticipating and pre-answering the questions a judging panel is likely to raise, and to demonstrate that the team understands FixMate's weaknesses and has a practical, honest plan for handling them, rather than presenting the idea as risk-free.</w:t>
      </w:r>
    </w:p>
    <w:p>
      <w:pPr>
        <w:pStyle w:val="Heading1"/>
        <w:spacing w:after="200" w:before="360"/>
      </w:pPr>
      <w:r>
        <w:t xml:space="preserve">1. The Problem</w:t>
      </w:r>
    </w:p>
    <w:p>
      <w:pPr>
        <w:spacing w:after="160" w:line="300"/>
      </w:pPr>
      <w:r>
        <w:t xml:space="preserve">India's urban and semi-urban middle class regularly faces a specific, everyday friction: something breaks — a television, a washing machine, a two-wheeler on the road — and there is no fast, trustworthy, and affordable way to get it fixed.</w:t>
      </w:r>
    </w:p>
    <w:p>
      <w:pPr>
        <w:pStyle w:val="Heading2"/>
        <w:spacing w:after="160" w:before="280"/>
      </w:pPr>
      <w:r>
        <w:t xml:space="preserve">1.1 The scenario that motivated this idea</w:t>
      </w:r>
    </w:p>
    <w:p>
      <w:pPr>
        <w:spacing w:after="160" w:line="300"/>
      </w:pPr>
      <w:r>
        <w:t xml:space="preserve">Consider a middle-class household whose television develops a fault. Buying a replacement is not a realistic option on a limited budget, and repair is the sensible path. Two routes typically exist today, and both are unsatisfactory:</w:t>
      </w:r>
    </w:p>
    <w:p>
      <w:pPr>
        <w:pStyle w:val="ListParagraph"/>
        <w:numPr>
          <w:ilvl w:val="0"/>
          <w:numId w:val="2"/>
        </w:numPr>
        <w:spacing w:after="100" w:line="300"/>
      </w:pPr>
      <w:r>
        <w:t xml:space="preserve">Manufacturer or insurance-backed service: often slow, with technicians available only after several days, and unusable once the warranty or insurance has lapsed.</w:t>
      </w:r>
    </w:p>
    <w:p>
      <w:pPr>
        <w:pStyle w:val="ListParagraph"/>
        <w:numPr>
          <w:ilvl w:val="0"/>
          <w:numId w:val="2"/>
        </w:numPr>
        <w:spacing w:after="100" w:line="300"/>
      </w:pPr>
      <w:r>
        <w:t xml:space="preserve">A local repairer: found through word of mouth or by walking around the neighbourhood, with no way to verify their skill, pricing, or reliability in advance, and no structured way to compare options nearby.</w:t>
      </w:r>
    </w:p>
    <w:p>
      <w:pPr>
        <w:spacing w:after="160" w:line="300"/>
      </w:pPr>
      <w:r>
        <w:t xml:space="preserve">A second, distinct scenario compounds the problem: a vehicle breaking down mid-journey due to a flat tyre, a dead battery, or a minor mechanical fault. The driver is stuck, often does not know the area, and needs help quickly — a need that is time-critical in a way home repair is not.</w:t>
      </w:r>
    </w:p>
    <w:p>
      <w:pPr>
        <w:pStyle w:val="Heading2"/>
        <w:spacing w:after="160" w:before="280"/>
      </w:pPr>
      <w:r>
        <w:t xml:space="preserve">1.2 Why this is a real, unsolved gap</w:t>
      </w:r>
    </w:p>
    <w:p>
      <w:pPr>
        <w:spacing w:after="160" w:line="300"/>
      </w:pPr>
      <w:r>
        <w:t xml:space="preserve">Both scenarios share the same root problem: a fragmented, informal, low-trust local repair economy with no structured discovery layer. India already has an enormous, skilled informal repair workforce — electricians, mechanics, appliance technicians, small shop owners — but no consumer-friendly, digital way to reliably reach the right one nearby, verify trust, and get transparent pricing before committing.</w:t>
      </w:r>
    </w:p>
    <w:p>
      <w:pPr>
        <w:pStyle w:val="Heading2"/>
        <w:spacing w:after="160" w:before="280"/>
      </w:pPr>
      <w:r>
        <w:t xml:space="preserve">1.3 Validation status — stated honestly</w:t>
      </w:r>
    </w:p>
    <w:p>
      <w:pPr>
        <w:spacing w:after="160" w:line="300"/>
      </w:pPr>
      <w:r>
        <w:t xml:space="preserve">This idea originates from direct personal experience — a television repair need met with a slow insurance process and no reliable way to find a trustworthy local electrician — combined with the observation that this friction is common and widely recognisable rather than unique to one household. No formal customer or provider survey has been conducted yet. Rather than presenting invented statistics, this is stated plainly: the immediate next step before further product investment is a small, informal validation exercise (illustrative target: 20–30 households and 10–15 local repairers in the intended pilot area), asking direct questions about repair frequency, current methods used, price/trust concerns, and willingness to try a verified alternative. Any figures elsewhere in this paper describing customer or provider counts, adoption rates, or transaction volumes are explicitly illustrative planning assumptions, not measured results, and are labelled as such.</w:t>
      </w:r>
    </w:p>
    <w:p>
      <w:pPr>
        <w:pStyle w:val="Heading1"/>
        <w:spacing w:after="200" w:before="360"/>
      </w:pPr>
      <w:r>
        <w:t xml:space="preserve">2. The Solution: FixMate</w:t>
      </w:r>
    </w:p>
    <w:p>
      <w:pPr>
        <w:spacing w:after="160" w:line="300"/>
      </w:pPr>
      <w:r>
        <w:t xml:space="preserve">FixMate is proposed as an on-demand marketplace app, modelled conceptually on ride-hailing apps such as Rapido: a customer states what they need, the request is routed to nearby, relevant, verified service providers, and a match is made through a batched process described in Section 5.6 — with the added safeguard of a diagnosis-first, transparent pricing flow (Section 5).</w:t>
      </w:r>
    </w:p>
    <w:p>
      <w:pPr>
        <w:pStyle w:val="Heading2"/>
        <w:spacing w:after="160" w:before="280"/>
      </w:pPr>
      <w:r>
        <w:t xml:space="preserve">2.1 Core categories at launch</w:t>
      </w:r>
    </w:p>
    <w:p>
      <w:pPr>
        <w:spacing w:after="160" w:line="300"/>
      </w:pPr>
      <w:r>
        <w:t xml:space="preserve">To avoid spreading resources too thin at launch, FixMate is scoped to three broad, high-frequency categories, each further divided into specific, searchable sub-items so that requests are routed only to genuinely relevant providers: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00"/>
      </w:tblGrid>
      <w:tr>
        <w:trPr>
          <w:tblHeader/>
        </w:trPr>
        <w:tc>
          <w:tcPr>
            <w:tcW w:type="dxa" w:w="3200"/>
            <w:shd w:fill="4472C4" w:color="auto" w:val="clear"/>
            <w:tcMar>
              <w:top w:type="dxa" w:w="100"/>
              <w:left w:type="dxa" w:w="120"/>
              <w:bottom w:type="dxa" w:w="100"/>
              <w:right w:type="dxa" w:w="120"/>
            </w:tcMar>
          </w:tcPr>
          <w:p>
            <w:r>
              <w:rPr>
                <w:b/>
                <w:bCs/>
                <w:color w:val="FFFFFF"/>
              </w:rPr>
              <w:t xml:space="preserve">Broad Category</w:t>
            </w:r>
          </w:p>
        </w:tc>
        <w:tc>
          <w:tcPr>
            <w:tcW w:type="dxa" w:w="3800"/>
            <w:shd w:fill="4472C4" w:color="auto" w:val="clear"/>
            <w:tcMar>
              <w:top w:type="dxa" w:w="100"/>
              <w:left w:type="dxa" w:w="120"/>
              <w:bottom w:type="dxa" w:w="100"/>
              <w:right w:type="dxa" w:w="120"/>
            </w:tcMar>
          </w:tcPr>
          <w:p>
            <w:r>
              <w:rPr>
                <w:b/>
                <w:bCs/>
                <w:color w:val="FFFFFF"/>
              </w:rPr>
              <w:t xml:space="preserve">Example Sub-items</w:t>
            </w:r>
          </w:p>
        </w:tc>
        <w:tc>
          <w:tcPr>
            <w:tcW w:type="dxa" w:w="2000"/>
            <w:shd w:fill="4472C4" w:color="auto" w:val="clear"/>
            <w:tcMar>
              <w:top w:type="dxa" w:w="100"/>
              <w:left w:type="dxa" w:w="120"/>
              <w:bottom w:type="dxa" w:w="100"/>
              <w:right w:type="dxa" w:w="120"/>
            </w:tcMar>
          </w:tcPr>
          <w:p>
            <w:r>
              <w:rPr>
                <w:b/>
                <w:bCs/>
                <w:color w:val="FFFFFF"/>
              </w:rPr>
              <w:t xml:space="preserve">Typical Provider</w:t>
            </w:r>
          </w:p>
        </w:tc>
      </w:tr>
      <w:tr>
        <w:tc>
          <w:tcPr>
            <w:tcW w:type="dxa" w:w="3200"/>
            <w:tcMar>
              <w:top w:type="dxa" w:w="100"/>
              <w:left w:type="dxa" w:w="120"/>
              <w:bottom w:type="dxa" w:w="100"/>
              <w:right w:type="dxa" w:w="120"/>
            </w:tcMar>
          </w:tcPr>
          <w:p>
            <w:r>
              <w:t xml:space="preserve">Electronics &amp; Appliances</w:t>
            </w:r>
          </w:p>
        </w:tc>
        <w:tc>
          <w:tcPr>
            <w:tcW w:type="dxa" w:w="3800"/>
            <w:tcMar>
              <w:top w:type="dxa" w:w="100"/>
              <w:left w:type="dxa" w:w="120"/>
              <w:bottom w:type="dxa" w:w="100"/>
              <w:right w:type="dxa" w:w="120"/>
            </w:tcMar>
          </w:tcPr>
          <w:p>
            <w:r>
              <w:t xml:space="preserve">TV, AC, Refrigerator, Washing Machine, Microwave, General Wiring</w:t>
            </w:r>
          </w:p>
        </w:tc>
        <w:tc>
          <w:tcPr>
            <w:tcW w:type="dxa" w:w="2000"/>
            <w:tcMar>
              <w:top w:type="dxa" w:w="100"/>
              <w:left w:type="dxa" w:w="120"/>
              <w:bottom w:type="dxa" w:w="100"/>
              <w:right w:type="dxa" w:w="120"/>
            </w:tcMar>
          </w:tcPr>
          <w:p>
            <w:r>
              <w:t xml:space="preserve">Electrician / appliance technician / shop</w:t>
            </w:r>
          </w:p>
        </w:tc>
      </w:tr>
      <w:tr>
        <w:tc>
          <w:tcPr>
            <w:tcW w:type="dxa" w:w="3200"/>
            <w:tcMar>
              <w:top w:type="dxa" w:w="100"/>
              <w:left w:type="dxa" w:w="120"/>
              <w:bottom w:type="dxa" w:w="100"/>
              <w:right w:type="dxa" w:w="120"/>
            </w:tcMar>
          </w:tcPr>
          <w:p>
            <w:r>
              <w:t xml:space="preserve">Mechanic</w:t>
            </w:r>
          </w:p>
        </w:tc>
        <w:tc>
          <w:tcPr>
            <w:tcW w:type="dxa" w:w="3800"/>
            <w:tcMar>
              <w:top w:type="dxa" w:w="100"/>
              <w:left w:type="dxa" w:w="120"/>
              <w:bottom w:type="dxa" w:w="100"/>
              <w:right w:type="dxa" w:w="120"/>
            </w:tcMar>
          </w:tcPr>
          <w:p>
            <w:r>
              <w:t xml:space="preserve">Two-wheeler &amp; car breakdowns, tyre, battery, minor on-road faults, towing (where offered)</w:t>
            </w:r>
          </w:p>
        </w:tc>
        <w:tc>
          <w:tcPr>
            <w:tcW w:type="dxa" w:w="2000"/>
            <w:tcMar>
              <w:top w:type="dxa" w:w="100"/>
              <w:left w:type="dxa" w:w="120"/>
              <w:bottom w:type="dxa" w:w="100"/>
              <w:right w:type="dxa" w:w="120"/>
            </w:tcMar>
          </w:tcPr>
          <w:p>
            <w:r>
              <w:t xml:space="preserve">Local garage / mechanic / garage staff</w:t>
            </w:r>
          </w:p>
        </w:tc>
      </w:tr>
      <w:tr>
        <w:tc>
          <w:tcPr>
            <w:tcW w:type="dxa" w:w="3200"/>
            <w:tcMar>
              <w:top w:type="dxa" w:w="100"/>
              <w:left w:type="dxa" w:w="120"/>
              <w:bottom w:type="dxa" w:w="100"/>
              <w:right w:type="dxa" w:w="120"/>
            </w:tcMar>
          </w:tcPr>
          <w:p>
            <w:r>
              <w:t xml:space="preserve">Plumber</w:t>
            </w:r>
          </w:p>
        </w:tc>
        <w:tc>
          <w:tcPr>
            <w:tcW w:type="dxa" w:w="3800"/>
            <w:tcMar>
              <w:top w:type="dxa" w:w="100"/>
              <w:left w:type="dxa" w:w="120"/>
              <w:bottom w:type="dxa" w:w="100"/>
              <w:right w:type="dxa" w:w="120"/>
            </w:tcMar>
          </w:tcPr>
          <w:p>
            <w:r>
              <w:t xml:space="preserve">Leaks, blockages, fittings</w:t>
            </w:r>
          </w:p>
        </w:tc>
        <w:tc>
          <w:tcPr>
            <w:tcW w:type="dxa" w:w="2000"/>
            <w:tcMar>
              <w:top w:type="dxa" w:w="100"/>
              <w:left w:type="dxa" w:w="120"/>
              <w:bottom w:type="dxa" w:w="100"/>
              <w:right w:type="dxa" w:w="120"/>
            </w:tcMar>
          </w:tcPr>
          <w:p>
            <w:r>
              <w:t xml:space="preserve">Local plumber</w:t>
            </w:r>
          </w:p>
        </w:tc>
      </w:tr>
    </w:tbl>
    <w:p>
      <w:pPr>
        <w:spacing w:after="160" w:line="300"/>
      </w:pPr>
      <w:r>
        <w:t xml:space="preserve">Additional categories — carpentry, painting, pest control, and others — are treated as a post-validation roadmap item rather than a day-one commitment (see Section 9).</w:t>
      </w:r>
    </w:p>
    <w:p>
      <w:pPr>
        <w:pStyle w:val="Heading2"/>
        <w:spacing w:after="160" w:before="280"/>
      </w:pPr>
      <w:r>
        <w:t xml:space="preserve">2.2 Category selection flow</w:t>
      </w:r>
    </w:p>
    <w:p>
      <w:pPr>
        <w:spacing w:after="160" w:line="300"/>
      </w:pPr>
      <w:r>
        <w:t xml:space="preserve">Within the app, the user selects a broad category, then either taps an icon for a common item (TV, AC, Fridge, etc.) or searches for a specific appliance/issue not shown as an icon. This mirrors the vehicle-type selection step in ride-hailing apps: the request is routed only to providers who have tagged that specific sub-skill on their profile, rather than broadcast to every provider in the broad category.</w:t>
      </w:r>
    </w:p>
    <w:p>
      <w:pPr>
        <w:pStyle w:val="Heading1"/>
        <w:spacing w:after="200" w:before="360"/>
      </w:pPr>
      <w:r>
        <w:t xml:space="preserve">3. Go-to-Market and Expansion Strategy</w:t>
      </w:r>
    </w:p>
    <w:p>
      <w:pPr>
        <w:spacing w:after="160" w:line="300"/>
      </w:pPr>
      <w:r>
        <w:t xml:space="preserve">Two-sided marketplaces fail most often not because the idea is flawed, but because neither side shows up first: customers open the app and see no nearby providers, so they leave; providers join and receive no requests, so they leave too. FixMate's launch strategy is designed explicitly around avoiding this failure mode, and around not repeating it at each new stage of growth.</w:t>
      </w:r>
    </w:p>
    <w:p>
      <w:pPr>
        <w:pStyle w:val="Heading2"/>
        <w:spacing w:after="160" w:before="280"/>
      </w:pPr>
      <w:r>
        <w:t xml:space="preserve">3.1 Hyperlocal, manual-first launch</w:t>
      </w:r>
    </w:p>
    <w:p>
      <w:pPr>
        <w:pStyle w:val="ListParagraph"/>
        <w:numPr>
          <w:ilvl w:val="0"/>
          <w:numId w:val="3"/>
        </w:numPr>
        <w:spacing w:after="100" w:line="300"/>
      </w:pPr>
      <w:r>
        <w:t xml:space="preserve">Launch in a single, dense locality (e.g., one or two housing societies) rather than an entire city.</w:t>
      </w:r>
    </w:p>
    <w:p>
      <w:pPr>
        <w:pStyle w:val="ListParagraph"/>
        <w:numPr>
          <w:ilvl w:val="0"/>
          <w:numId w:val="3"/>
        </w:numPr>
        <w:spacing w:after="100" w:line="300"/>
      </w:pPr>
      <w:r>
        <w:t xml:space="preserve">Manually recruit the first batch of local repairers — door-to-door / shop-to-shop — rather than waiting for organic sign-ups.</w:t>
      </w:r>
    </w:p>
    <w:p>
      <w:pPr>
        <w:pStyle w:val="ListParagraph"/>
        <w:numPr>
          <w:ilvl w:val="0"/>
          <w:numId w:val="3"/>
        </w:numPr>
        <w:spacing w:after="100" w:line="300"/>
      </w:pPr>
      <w:r>
        <w:t xml:space="preserve">Drive initial customer adoption through community channels already active in that locality — Resident Welfare Association (RWA) groups, local WhatsApp groups, notice boards — rather than paid, broad-reach advertising.</w:t>
      </w:r>
    </w:p>
    <w:p>
      <w:pPr>
        <w:pStyle w:val="ListParagraph"/>
        <w:numPr>
          <w:ilvl w:val="0"/>
          <w:numId w:val="3"/>
        </w:numPr>
        <w:spacing w:after="100" w:line="300"/>
      </w:pPr>
      <w:r>
        <w:t xml:space="preserve">Only expand to a new locality once the current one has reached a density sufficient to guarantee a fast response time.</w:t>
      </w:r>
    </w:p>
    <w:p>
      <w:pPr>
        <w:spacing w:after="160" w:line="300"/>
      </w:pPr>
      <w:r>
        <w:t xml:space="preserve">This “do things that don't scale” approach mirrors how Airbnb, Uber, Swiggy, and Urban Company bootstrapped their own two-sided marketplaces in their earliest markets.</w:t>
      </w:r>
    </w:p>
    <w:p>
      <w:pPr>
        <w:pStyle w:val="Heading2"/>
        <w:spacing w:after="160" w:before="280"/>
      </w:pPr>
      <w:r>
        <w:t xml:space="preserve">3.2 Role of paid promotion and sponsorship</w:t>
      </w:r>
    </w:p>
    <w:p>
      <w:pPr>
        <w:spacing w:after="160" w:line="300"/>
      </w:pPr>
      <w:r>
        <w:t xml:space="preserve">Paid social media promotion is deliberately not the primary channel at launch: it can generate app installs, but if there is no local supply behind the app when a new user opens it, the acquired user churns immediately — an expensive way to fail. Sponsorship or partnership is more useful as a distribution and credibility lever than as an ad-spend lever — for example, a tie-up with a housing-society management platform, an RWA federation, or an appliance brand's authorized service network. Such partnerships are treated as a post-traction lever, pursued after the model is proven in one locality, not as a substitute for the initial manual bootstrap.</w:t>
      </w:r>
    </w:p>
    <w:p>
      <w:pPr>
        <w:pStyle w:val="Heading2"/>
        <w:spacing w:after="160" w:before="280"/>
      </w:pPr>
      <w:r>
        <w:t xml:space="preserve">3.3 On-ground operations model</w:t>
      </w:r>
    </w:p>
    <w:p>
      <w:pPr>
        <w:spacing w:after="160" w:line="300"/>
      </w:pPr>
      <w:r>
        <w:t xml:space="preserve">Expanding manual onboarding across localities and cities is itself an operational function, modelled explicitly on how Swiggy and Zomato grew their restaurant-supply side in each new city: a small, dedicated on-ground team physically visits local shops and independent repairers, explains the app, and helps them build their profile, rather than relying only on organic sign-up.</w:t>
      </w:r>
    </w:p>
    <w:p>
      <w:pPr>
        <w:pStyle w:val="ListParagraph"/>
        <w:numPr>
          <w:ilvl w:val="0"/>
          <w:numId w:val="2"/>
        </w:numPr>
        <w:spacing w:after="100" w:line="300"/>
      </w:pPr>
      <w:r>
        <w:t xml:space="preserve">At launch, this work is done personally by the founding team in the pilot locality — keeping cost near zero at the riskiest, most unproven stage, and ensuring the founders directly understand the hardest part of the business before delegating it.</w:t>
      </w:r>
    </w:p>
    <w:p>
      <w:pPr>
        <w:pStyle w:val="ListParagraph"/>
        <w:numPr>
          <w:ilvl w:val="0"/>
          <w:numId w:val="2"/>
        </w:numPr>
        <w:spacing w:after="100" w:line="300"/>
      </w:pPr>
      <w:r>
        <w:t xml:space="preserve">Once the pilot locality is validated (density and usage targets met, see Section 3.4), a small local operations team is hired to replicate the same on-ground onboarding playbook in new localities and, later, new cities.</w:t>
      </w:r>
    </w:p>
    <w:p>
      <w:pPr>
        <w:pStyle w:val="ListParagraph"/>
        <w:numPr>
          <w:ilvl w:val="0"/>
          <w:numId w:val="2"/>
        </w:numPr>
        <w:spacing w:after="100" w:line="300"/>
      </w:pPr>
      <w:r>
        <w:t xml:space="preserve">This is deliberately not described as opening “branches” — FixMate is an asset-light digital marketplace, not a retail or franchise business. What is needed in each new city is a small internal operations hub (a handful of people), not customer-facing physical premises.</w:t>
      </w:r>
    </w:p>
    <w:p>
      <w:pPr>
        <w:pStyle w:val="ListParagraph"/>
        <w:numPr>
          <w:ilvl w:val="0"/>
          <w:numId w:val="2"/>
        </w:numPr>
        <w:spacing w:after="100" w:line="300"/>
      </w:pPr>
      <w:r>
        <w:t xml:space="preserve">The on-ground team also performs coverage-gap monitoring: watching where customer requests are concentrated versus where provider density is thin, and prioritising recruitment effort in those specific gap areas rather than recruiting blindly.</w:t>
      </w:r>
    </w:p>
    <w:p>
      <w:pPr>
        <w:pStyle w:val="Heading2"/>
        <w:spacing w:after="160" w:before="280"/>
      </w:pPr>
      <w:r>
        <w:t xml:space="preserve">3.4 Phased expansion timeline (illustrative)</w:t>
      </w:r>
    </w:p>
    <w:p>
      <w:pPr>
        <w:pBdr>
          <w:left w:val="single" w:color="BA7517" w:sz="18" w:space="8"/>
        </w:pBdr>
        <w:spacing w:after="200" w:before="120" w:line="300"/>
        <w:ind w:left="400"/>
      </w:pPr>
      <w:r>
        <w:rPr>
          <w:i/>
          <w:iCs/>
          <w:color w:val="633806"/>
        </w:rPr>
        <w:t xml:space="preserve">The timeline below is an illustrative planning target, not a committed or validated schedule. It is intended to show that growth is staged and disciplined, not that these specific durations are guaranteed.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W w:type="dxa" w:w="2000"/>
            <w:shd w:fill="4472C4" w:color="auto" w:val="clear"/>
            <w:tcMar>
              <w:top w:type="dxa" w:w="100"/>
              <w:left w:type="dxa" w:w="120"/>
              <w:bottom w:type="dxa" w:w="100"/>
              <w:right w:type="dxa" w:w="120"/>
            </w:tcMar>
          </w:tcPr>
          <w:p>
            <w:r>
              <w:rPr>
                <w:b/>
                <w:bCs/>
                <w:color w:val="FFFFFF"/>
              </w:rPr>
              <w:t xml:space="preserve">Phase</w:t>
            </w:r>
          </w:p>
        </w:tc>
        <w:tc>
          <w:tcPr>
            <w:tcW w:type="dxa" w:w="2200"/>
            <w:shd w:fill="4472C4" w:color="auto" w:val="clear"/>
            <w:tcMar>
              <w:top w:type="dxa" w:w="100"/>
              <w:left w:type="dxa" w:w="120"/>
              <w:bottom w:type="dxa" w:w="100"/>
              <w:right w:type="dxa" w:w="120"/>
            </w:tcMar>
          </w:tcPr>
          <w:p>
            <w:r>
              <w:rPr>
                <w:b/>
                <w:bCs/>
                <w:color w:val="FFFFFF"/>
              </w:rPr>
              <w:t xml:space="preserve">Illustrative timeline</w:t>
            </w:r>
          </w:p>
        </w:tc>
        <w:tc>
          <w:tcPr>
            <w:tcW w:type="dxa" w:w="4800"/>
            <w:shd w:fill="4472C4" w:color="auto" w:val="clear"/>
            <w:tcMar>
              <w:top w:type="dxa" w:w="100"/>
              <w:left w:type="dxa" w:w="120"/>
              <w:bottom w:type="dxa" w:w="100"/>
              <w:right w:type="dxa" w:w="120"/>
            </w:tcMar>
          </w:tcPr>
          <w:p>
            <w:r>
              <w:rPr>
                <w:b/>
                <w:bCs/>
                <w:color w:val="FFFFFF"/>
              </w:rPr>
              <w:t xml:space="preserve">What happens</w:t>
            </w:r>
          </w:p>
        </w:tc>
      </w:tr>
      <w:tr>
        <w:tc>
          <w:tcPr>
            <w:tcW w:type="dxa" w:w="2000"/>
            <w:tcMar>
              <w:top w:type="dxa" w:w="100"/>
              <w:left w:type="dxa" w:w="120"/>
              <w:bottom w:type="dxa" w:w="100"/>
              <w:right w:type="dxa" w:w="120"/>
            </w:tcMar>
          </w:tcPr>
          <w:p>
            <w:r>
              <w:t xml:space="preserve">1 — Pilot</w:t>
            </w:r>
          </w:p>
        </w:tc>
        <w:tc>
          <w:tcPr>
            <w:tcW w:type="dxa" w:w="2200"/>
            <w:tcMar>
              <w:top w:type="dxa" w:w="100"/>
              <w:left w:type="dxa" w:w="120"/>
              <w:bottom w:type="dxa" w:w="100"/>
              <w:right w:type="dxa" w:w="120"/>
            </w:tcMar>
          </w:tcPr>
          <w:p>
            <w:r>
              <w:t xml:space="preserve">Month 1–3</w:t>
            </w:r>
          </w:p>
        </w:tc>
        <w:tc>
          <w:tcPr>
            <w:tcW w:type="dxa" w:w="4800"/>
            <w:tcMar>
              <w:top w:type="dxa" w:w="100"/>
              <w:left w:type="dxa" w:w="120"/>
              <w:bottom w:type="dxa" w:w="100"/>
              <w:right w:type="dxa" w:w="120"/>
            </w:tcMar>
          </w:tcPr>
          <w:p>
            <w:r>
              <w:t xml:space="preserve">Launch in one locality, founder-led onboarding, hit minimum density targets</w:t>
            </w:r>
          </w:p>
        </w:tc>
      </w:tr>
      <w:tr>
        <w:tc>
          <w:tcPr>
            <w:tcW w:type="dxa" w:w="2000"/>
            <w:tcMar>
              <w:top w:type="dxa" w:w="100"/>
              <w:left w:type="dxa" w:w="120"/>
              <w:bottom w:type="dxa" w:w="100"/>
              <w:right w:type="dxa" w:w="120"/>
            </w:tcMar>
          </w:tcPr>
          <w:p>
            <w:r>
              <w:t xml:space="preserve">2 — Local expansion</w:t>
            </w:r>
          </w:p>
        </w:tc>
        <w:tc>
          <w:tcPr>
            <w:tcW w:type="dxa" w:w="2200"/>
            <w:tcMar>
              <w:top w:type="dxa" w:w="100"/>
              <w:left w:type="dxa" w:w="120"/>
              <w:bottom w:type="dxa" w:w="100"/>
              <w:right w:type="dxa" w:w="120"/>
            </w:tcMar>
          </w:tcPr>
          <w:p>
            <w:r>
              <w:t xml:space="preserve">Month 4–8</w:t>
            </w:r>
          </w:p>
        </w:tc>
        <w:tc>
          <w:tcPr>
            <w:tcW w:type="dxa" w:w="4800"/>
            <w:tcMar>
              <w:top w:type="dxa" w:w="100"/>
              <w:left w:type="dxa" w:w="120"/>
              <w:bottom w:type="dxa" w:w="100"/>
              <w:right w:type="dxa" w:w="120"/>
            </w:tcMar>
          </w:tcPr>
          <w:p>
            <w:r>
              <w:t xml:space="preserve">Expand to 3–5 more localities within the same city using the same playbook</w:t>
            </w:r>
          </w:p>
        </w:tc>
      </w:tr>
      <w:tr>
        <w:tc>
          <w:tcPr>
            <w:tcW w:type="dxa" w:w="2000"/>
            <w:tcMar>
              <w:top w:type="dxa" w:w="100"/>
              <w:left w:type="dxa" w:w="120"/>
              <w:bottom w:type="dxa" w:w="100"/>
              <w:right w:type="dxa" w:w="120"/>
            </w:tcMar>
          </w:tcPr>
          <w:p>
            <w:r>
              <w:t xml:space="preserve">3 — City-wide</w:t>
            </w:r>
          </w:p>
        </w:tc>
        <w:tc>
          <w:tcPr>
            <w:tcW w:type="dxa" w:w="2200"/>
            <w:tcMar>
              <w:top w:type="dxa" w:w="100"/>
              <w:left w:type="dxa" w:w="120"/>
              <w:bottom w:type="dxa" w:w="100"/>
              <w:right w:type="dxa" w:w="120"/>
            </w:tcMar>
          </w:tcPr>
          <w:p>
            <w:r>
              <w:t xml:space="preserve">Year 1 end – Year 2</w:t>
            </w:r>
          </w:p>
        </w:tc>
        <w:tc>
          <w:tcPr>
            <w:tcW w:type="dxa" w:w="4800"/>
            <w:tcMar>
              <w:top w:type="dxa" w:w="100"/>
              <w:left w:type="dxa" w:w="120"/>
              <w:bottom w:type="dxa" w:w="100"/>
              <w:right w:type="dxa" w:w="120"/>
            </w:tcMar>
          </w:tcPr>
          <w:p>
            <w:r>
              <w:t xml:space="preserve">Cover most of the first city; introduce additional service categories</w:t>
            </w:r>
          </w:p>
        </w:tc>
      </w:tr>
      <w:tr>
        <w:tc>
          <w:tcPr>
            <w:tcW w:type="dxa" w:w="2000"/>
            <w:tcMar>
              <w:top w:type="dxa" w:w="100"/>
              <w:left w:type="dxa" w:w="120"/>
              <w:bottom w:type="dxa" w:w="100"/>
              <w:right w:type="dxa" w:w="120"/>
            </w:tcMar>
          </w:tcPr>
          <w:p>
            <w:r>
              <w:t xml:space="preserve">4 — New cities</w:t>
            </w:r>
          </w:p>
        </w:tc>
        <w:tc>
          <w:tcPr>
            <w:tcW w:type="dxa" w:w="2200"/>
            <w:tcMar>
              <w:top w:type="dxa" w:w="100"/>
              <w:left w:type="dxa" w:w="120"/>
              <w:bottom w:type="dxa" w:w="100"/>
              <w:right w:type="dxa" w:w="120"/>
            </w:tcMar>
          </w:tcPr>
          <w:p>
            <w:r>
              <w:t xml:space="preserve">Year 2–3</w:t>
            </w:r>
          </w:p>
        </w:tc>
        <w:tc>
          <w:tcPr>
            <w:tcW w:type="dxa" w:w="4800"/>
            <w:tcMar>
              <w:top w:type="dxa" w:w="100"/>
              <w:left w:type="dxa" w:w="120"/>
              <w:bottom w:type="dxa" w:w="100"/>
              <w:right w:type="dxa" w:w="120"/>
            </w:tcMar>
          </w:tcPr>
          <w:p>
            <w:r>
              <w:t xml:space="preserve">Replicate the locality-by-locality playbook in new cities (e.g., Delhi, Bengaluru)</w:t>
            </w:r>
          </w:p>
        </w:tc>
      </w:tr>
      <w:tr>
        <w:tc>
          <w:tcPr>
            <w:tcW w:type="dxa" w:w="2000"/>
            <w:tcMar>
              <w:top w:type="dxa" w:w="100"/>
              <w:left w:type="dxa" w:w="120"/>
              <w:bottom w:type="dxa" w:w="100"/>
              <w:right w:type="dxa" w:w="120"/>
            </w:tcMar>
          </w:tcPr>
          <w:p>
            <w:r>
              <w:t xml:space="preserve">5 — Regional operations</w:t>
            </w:r>
          </w:p>
        </w:tc>
        <w:tc>
          <w:tcPr>
            <w:tcW w:type="dxa" w:w="2200"/>
            <w:tcMar>
              <w:top w:type="dxa" w:w="100"/>
              <w:left w:type="dxa" w:w="120"/>
              <w:bottom w:type="dxa" w:w="100"/>
              <w:right w:type="dxa" w:w="120"/>
            </w:tcMar>
          </w:tcPr>
          <w:p>
            <w:r>
              <w:t xml:space="preserve">Year 3+</w:t>
            </w:r>
          </w:p>
        </w:tc>
        <w:tc>
          <w:tcPr>
            <w:tcW w:type="dxa" w:w="4800"/>
            <w:tcMar>
              <w:top w:type="dxa" w:w="100"/>
              <w:left w:type="dxa" w:w="120"/>
              <w:bottom w:type="dxa" w:w="100"/>
              <w:right w:type="dxa" w:w="120"/>
            </w:tcMar>
          </w:tcPr>
          <w:p>
            <w:r>
              <w:t xml:space="preserve">Small local operations teams in each major city, once volume justifies hiring</w:t>
            </w:r>
          </w:p>
        </w:tc>
      </w:tr>
    </w:tbl>
    <w:p>
      <w:pPr>
        <w:spacing w:after="160" w:line="300"/>
      </w:pPr>
      <w:r>
        <w:t xml:space="preserve">This structure directly avoids a risk identified during review of an earlier draft of this plan: launching simultaneously across multiple large metros before any single locality has reached working density would recreate the cold-start problem at a larger, more expensive scale, splitting limited effort across several half-empty marketplaces instead of building one that actually works first.</w:t>
      </w:r>
    </w:p>
    <w:p>
      <w:pPr>
        <w:pStyle w:val="Heading1"/>
        <w:spacing w:after="200" w:before="360"/>
      </w:pPr>
      <w:r>
        <w:t xml:space="preserve">4. Market Sizing and Unit Economics</w:t>
      </w:r>
    </w:p>
    <w:p>
      <w:pPr>
        <w:pBdr>
          <w:left w:val="single" w:color="BA7517" w:sz="18" w:space="8"/>
        </w:pBdr>
        <w:spacing w:after="200" w:before="120" w:line="300"/>
        <w:ind w:left="400"/>
      </w:pPr>
      <w:r>
        <w:rPr>
          <w:i/>
          <w:iCs/>
          <w:color w:val="633806"/>
        </w:rPr>
        <w:t xml:space="preserve">All figures in this section are illustrative planning assumptions built on top of one publicly available demographic estimate for Mumbai. They are provided to demonstrate a reasoning process, not as validated financial projections.</w:t>
      </w:r>
    </w:p>
    <w:p>
      <w:pPr>
        <w:pStyle w:val="Heading2"/>
        <w:spacing w:after="160" w:before="280"/>
      </w:pPr>
      <w:r>
        <w:t xml:space="preserve">4.1 TAM / SAM / SOM</w:t>
      </w:r>
    </w:p>
    <w:p>
      <w:pPr>
        <w:spacing w:after="160" w:line="300"/>
      </w:pPr>
      <w:r>
        <w:t xml:space="preserve">Mumbai's metropolitan area has a population in the range of roughly 19–20 million people, with household counts that have been estimated in past studies to be several million and rising. This is used only as an illustrative starting point for sizing the opportunity, not as a precise or current figure.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4472C4" w:color="auto" w:val="clear"/>
            <w:tcMar>
              <w:top w:type="dxa" w:w="100"/>
              <w:left w:type="dxa" w:w="120"/>
              <w:bottom w:type="dxa" w:w="100"/>
              <w:right w:type="dxa" w:w="120"/>
            </w:tcMar>
          </w:tcPr>
          <w:p>
            <w:r>
              <w:rPr>
                <w:b/>
                <w:bCs/>
                <w:color w:val="FFFFFF"/>
              </w:rPr>
              <w:t xml:space="preserve">Layer</w:t>
            </w:r>
          </w:p>
        </w:tc>
        <w:tc>
          <w:tcPr>
            <w:tcW w:type="dxa" w:w="3400"/>
            <w:shd w:fill="4472C4" w:color="auto" w:val="clear"/>
            <w:tcMar>
              <w:top w:type="dxa" w:w="100"/>
              <w:left w:type="dxa" w:w="120"/>
              <w:bottom w:type="dxa" w:w="100"/>
              <w:right w:type="dxa" w:w="120"/>
            </w:tcMar>
          </w:tcPr>
          <w:p>
            <w:r>
              <w:rPr>
                <w:b/>
                <w:bCs/>
                <w:color w:val="FFFFFF"/>
              </w:rPr>
              <w:t xml:space="preserve">Definition</w:t>
            </w:r>
          </w:p>
        </w:tc>
        <w:tc>
          <w:tcPr>
            <w:tcW w:type="dxa" w:w="3800"/>
            <w:shd w:fill="4472C4" w:color="auto" w:val="clear"/>
            <w:tcMar>
              <w:top w:type="dxa" w:w="100"/>
              <w:left w:type="dxa" w:w="120"/>
              <w:bottom w:type="dxa" w:w="100"/>
              <w:right w:type="dxa" w:w="120"/>
            </w:tcMar>
          </w:tcPr>
          <w:p>
            <w:r>
              <w:rPr>
                <w:b/>
                <w:bCs/>
                <w:color w:val="FFFFFF"/>
              </w:rPr>
              <w:t xml:space="preserve">Illustrative framing for FixMate</w:t>
            </w:r>
          </w:p>
        </w:tc>
      </w:tr>
      <w:tr>
        <w:tc>
          <w:tcPr>
            <w:tcW w:type="dxa" w:w="1800"/>
            <w:tcMar>
              <w:top w:type="dxa" w:w="100"/>
              <w:left w:type="dxa" w:w="120"/>
              <w:bottom w:type="dxa" w:w="100"/>
              <w:right w:type="dxa" w:w="120"/>
            </w:tcMar>
          </w:tcPr>
          <w:p>
            <w:r>
              <w:t xml:space="preserve">TAM — Total Addressable Market</w:t>
            </w:r>
          </w:p>
        </w:tc>
        <w:tc>
          <w:tcPr>
            <w:tcW w:type="dxa" w:w="3400"/>
            <w:tcMar>
              <w:top w:type="dxa" w:w="100"/>
              <w:left w:type="dxa" w:w="120"/>
              <w:bottom w:type="dxa" w:w="100"/>
              <w:right w:type="dxa" w:w="120"/>
            </w:tcMar>
          </w:tcPr>
          <w:p>
            <w:r>
              <w:t xml:space="preserve">The entire home-repair and vehicle-assistance spend across Mumbai</w:t>
            </w:r>
          </w:p>
        </w:tc>
        <w:tc>
          <w:tcPr>
            <w:tcW w:type="dxa" w:w="3800"/>
            <w:tcMar>
              <w:top w:type="dxa" w:w="100"/>
              <w:left w:type="dxa" w:w="120"/>
              <w:bottom w:type="dxa" w:w="100"/>
              <w:right w:type="dxa" w:w="120"/>
            </w:tcMar>
          </w:tcPr>
          <w:p>
            <w:r>
              <w:t xml:space="preserve">All households and vehicle owners in Mumbai with any repair need, across all income levels and channels (formal service, informal repairer, or brand service)</w:t>
            </w:r>
          </w:p>
        </w:tc>
      </w:tr>
      <w:tr>
        <w:tc>
          <w:tcPr>
            <w:tcW w:type="dxa" w:w="1800"/>
            <w:tcMar>
              <w:top w:type="dxa" w:w="100"/>
              <w:left w:type="dxa" w:w="120"/>
              <w:bottom w:type="dxa" w:w="100"/>
              <w:right w:type="dxa" w:w="120"/>
            </w:tcMar>
          </w:tcPr>
          <w:p>
            <w:r>
              <w:t xml:space="preserve">SAM — Serviceable Addressable Market</w:t>
            </w:r>
          </w:p>
        </w:tc>
        <w:tc>
          <w:tcPr>
            <w:tcW w:type="dxa" w:w="3400"/>
            <w:tcMar>
              <w:top w:type="dxa" w:w="100"/>
              <w:left w:type="dxa" w:w="120"/>
              <w:bottom w:type="dxa" w:w="100"/>
              <w:right w:type="dxa" w:w="120"/>
            </w:tcMar>
          </w:tcPr>
          <w:p>
            <w:r>
              <w:t xml:space="preserve">The portion realistically reachable by FixMate's model and categories</w:t>
            </w:r>
          </w:p>
        </w:tc>
        <w:tc>
          <w:tcPr>
            <w:tcW w:type="dxa" w:w="3800"/>
            <w:tcMar>
              <w:top w:type="dxa" w:w="100"/>
              <w:left w:type="dxa" w:w="120"/>
              <w:bottom w:type="dxa" w:w="100"/>
              <w:right w:type="dxa" w:w="120"/>
            </w:tcMar>
          </w:tcPr>
          <w:p>
            <w:r>
              <w:t xml:space="preserve">Urban, smartphone-using, middle-income households in areas where FixMate's categories (electronics, appliances, mechanic, plumber) are relevant — excluding very high-income households defaulting to premium brand service, and households without smartphone/app usage for this purpose</w:t>
            </w:r>
          </w:p>
        </w:tc>
      </w:tr>
      <w:tr>
        <w:tc>
          <w:tcPr>
            <w:tcW w:type="dxa" w:w="1800"/>
            <w:tcMar>
              <w:top w:type="dxa" w:w="100"/>
              <w:left w:type="dxa" w:w="120"/>
              <w:bottom w:type="dxa" w:w="100"/>
              <w:right w:type="dxa" w:w="120"/>
            </w:tcMar>
          </w:tcPr>
          <w:p>
            <w:r>
              <w:t xml:space="preserve">SOM — Serviceable Obtainable Market</w:t>
            </w:r>
          </w:p>
        </w:tc>
        <w:tc>
          <w:tcPr>
            <w:tcW w:type="dxa" w:w="3400"/>
            <w:tcMar>
              <w:top w:type="dxa" w:w="100"/>
              <w:left w:type="dxa" w:w="120"/>
              <w:bottom w:type="dxa" w:w="100"/>
              <w:right w:type="dxa" w:w="120"/>
            </w:tcMar>
          </w:tcPr>
          <w:p>
            <w:r>
              <w:t xml:space="preserve">What FixMate can realistically capture during the pilot period</w:t>
            </w:r>
          </w:p>
        </w:tc>
        <w:tc>
          <w:tcPr>
            <w:tcW w:type="dxa" w:w="3800"/>
            <w:tcMar>
              <w:top w:type="dxa" w:w="100"/>
              <w:left w:type="dxa" w:w="120"/>
              <w:bottom w:type="dxa" w:w="100"/>
              <w:right w:type="dxa" w:w="120"/>
            </w:tcMar>
          </w:tcPr>
          <w:p>
            <w:r>
              <w:t xml:space="preserve">One pilot locality (illustrative: 5,000–10,000 households), with an illustrative 5–10% first-year adoption rate among them</w:t>
            </w:r>
          </w:p>
        </w:tc>
      </w:tr>
    </w:tbl>
    <w:p>
      <w:pPr>
        <w:pStyle w:val="Heading2"/>
        <w:spacing w:after="160" w:before="280"/>
      </w:pPr>
      <w:r>
        <w:t xml:space="preserve">4.2 Illustrative unit economics — pilot stage vs. scaled stage</w:t>
      </w:r>
    </w:p>
    <w:p>
      <w:pPr>
        <w:spacing w:after="160" w:line="300"/>
      </w:pPr>
      <w:r>
        <w:t xml:space="preserve">A useful monthly revenue figure depends on job volume and average transaction value, not on provider headcount alone — providers are the supply side; revenue is generated only when real customer demand converts into paid jobs. Two distinct scenarios are shown below so that a near-term, pilot-stage figure is not confused with a longer-term, multi-locality figure.</w:t>
      </w:r>
    </w:p>
    <w:p>
      <w:pPr>
        <w:pStyle w:val="Heading3"/>
        <w:spacing w:after="120" w:before="220"/>
      </w:pPr>
      <w:r>
        <w:t xml:space="preserve">Pilot-stage illustrative scenario (one locality, early months)</w:t>
      </w:r>
    </w:p>
    <w:p>
      <w:pPr>
        <w:pStyle w:val="ListParagraph"/>
        <w:numPr>
          <w:ilvl w:val="0"/>
          <w:numId w:val="2"/>
        </w:numPr>
        <w:spacing w:after="100" w:line="300"/>
      </w:pPr>
      <w:r>
        <w:t xml:space="preserve">Active providers in the pilot locality: illustrative 30–50</w:t>
      </w:r>
    </w:p>
    <w:p>
      <w:pPr>
        <w:pStyle w:val="ListParagraph"/>
        <w:numPr>
          <w:ilvl w:val="0"/>
          <w:numId w:val="2"/>
        </w:numPr>
        <w:spacing w:after="100" w:line="300"/>
      </w:pPr>
      <w:r>
        <w:t xml:space="preserve">Jobs per provider per month: illustrative 8–12 (lower than a mature market, since density and customer awareness are still building)</w:t>
      </w:r>
    </w:p>
    <w:p>
      <w:pPr>
        <w:pStyle w:val="ListParagraph"/>
        <w:numPr>
          <w:ilvl w:val="0"/>
          <w:numId w:val="2"/>
        </w:numPr>
        <w:spacing w:after="100" w:line="300"/>
      </w:pPr>
      <w:r>
        <w:t xml:space="preserve">Average transaction value: illustrative ₹500 (blended across categories)</w:t>
      </w:r>
    </w:p>
    <w:p>
      <w:pPr>
        <w:pStyle w:val="ListParagraph"/>
        <w:numPr>
          <w:ilvl w:val="0"/>
          <w:numId w:val="2"/>
        </w:numPr>
        <w:spacing w:after="100" w:line="300"/>
      </w:pPr>
      <w:r>
        <w:t xml:space="preserve">At a midpoint of 40 providers × 10 jobs/month × ₹500 = illustrative ₹2,00,000 monthly GMV (total money flowing through the app)</w:t>
      </w:r>
    </w:p>
    <w:p>
      <w:pPr>
        <w:pStyle w:val="ListParagraph"/>
        <w:numPr>
          <w:ilvl w:val="0"/>
          <w:numId w:val="2"/>
        </w:numPr>
        <w:spacing w:after="100" w:line="300"/>
      </w:pPr>
      <w:r>
        <w:t xml:space="preserve">FixMate revenue at 10–15% commission: illustrative ₹20,000–₹30,000/month in the pilot locality</w:t>
      </w:r>
    </w:p>
    <w:p>
      <w:pPr>
        <w:pStyle w:val="Heading3"/>
        <w:spacing w:after="120" w:before="220"/>
      </w:pPr>
      <w:r>
        <w:t xml:space="preserve">Scaled-stage illustrative scenario (several localities / one full city, later timeframe)</w:t>
      </w:r>
    </w:p>
    <w:p>
      <w:pPr>
        <w:spacing w:after="160" w:line="300"/>
      </w:pPr>
      <w:r>
        <w:t xml:space="preserve">The table below models a larger, more mature scenario — explicitly a Phase 3/4 figure per the timeline in Section 3.4, not a launch-month 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1800"/>
      </w:tblGrid>
      <w:tr>
        <w:trPr>
          <w:tblHeader/>
        </w:trPr>
        <w:tc>
          <w:tcPr>
            <w:tcW w:type="dxa" w:w="2400"/>
            <w:shd w:fill="4472C4" w:color="auto" w:val="clear"/>
            <w:tcMar>
              <w:top w:type="dxa" w:w="100"/>
              <w:left w:type="dxa" w:w="120"/>
              <w:bottom w:type="dxa" w:w="100"/>
              <w:right w:type="dxa" w:w="120"/>
            </w:tcMar>
          </w:tcPr>
          <w:p>
            <w:r>
              <w:rPr>
                <w:b/>
                <w:bCs/>
                <w:color w:val="FFFFFF"/>
              </w:rPr>
              <w:t xml:space="preserve">Avg. transaction value</w:t>
            </w:r>
          </w:p>
        </w:tc>
        <w:tc>
          <w:tcPr>
            <w:tcW w:type="dxa" w:w="3000"/>
            <w:shd w:fill="4472C4" w:color="auto" w:val="clear"/>
            <w:tcMar>
              <w:top w:type="dxa" w:w="100"/>
              <w:left w:type="dxa" w:w="120"/>
              <w:bottom w:type="dxa" w:w="100"/>
              <w:right w:type="dxa" w:w="120"/>
            </w:tcMar>
          </w:tcPr>
          <w:p>
            <w:r>
              <w:rPr>
                <w:b/>
                <w:bCs/>
                <w:color w:val="FFFFFF"/>
              </w:rPr>
              <w:t xml:space="preserve">Monthly GMV (1,500 providers × 2.5 jobs/month)</w:t>
            </w:r>
          </w:p>
        </w:tc>
        <w:tc>
          <w:tcPr>
            <w:tcW w:type="dxa" w:w="1800"/>
            <w:shd w:fill="4472C4" w:color="auto" w:val="clear"/>
            <w:tcMar>
              <w:top w:type="dxa" w:w="100"/>
              <w:left w:type="dxa" w:w="120"/>
              <w:bottom w:type="dxa" w:w="100"/>
              <w:right w:type="dxa" w:w="120"/>
            </w:tcMar>
          </w:tcPr>
          <w:p>
            <w:r>
              <w:rPr>
                <w:b/>
                <w:bCs/>
                <w:color w:val="FFFFFF"/>
              </w:rPr>
              <w:t xml:space="preserve">FixMate revenue @ 10%</w:t>
            </w:r>
          </w:p>
        </w:tc>
        <w:tc>
          <w:tcPr>
            <w:tcW w:type="dxa" w:w="1800"/>
            <w:shd w:fill="4472C4" w:color="auto" w:val="clear"/>
            <w:tcMar>
              <w:top w:type="dxa" w:w="100"/>
              <w:left w:type="dxa" w:w="120"/>
              <w:bottom w:type="dxa" w:w="100"/>
              <w:right w:type="dxa" w:w="120"/>
            </w:tcMar>
          </w:tcPr>
          <w:p>
            <w:r>
              <w:rPr>
                <w:b/>
                <w:bCs/>
                <w:color w:val="FFFFFF"/>
              </w:rPr>
              <w:t xml:space="preserve">FixMate revenue @ 15%</w:t>
            </w:r>
          </w:p>
        </w:tc>
      </w:tr>
      <w:tr>
        <w:tc>
          <w:tcPr>
            <w:tcW w:type="dxa" w:w="2400"/>
            <w:tcMar>
              <w:top w:type="dxa" w:w="100"/>
              <w:left w:type="dxa" w:w="120"/>
              <w:bottom w:type="dxa" w:w="100"/>
              <w:right w:type="dxa" w:w="120"/>
            </w:tcMar>
          </w:tcPr>
          <w:p>
            <w:r>
              <w:t xml:space="preserve">₹300</w:t>
            </w:r>
          </w:p>
        </w:tc>
        <w:tc>
          <w:tcPr>
            <w:tcW w:type="dxa" w:w="3000"/>
            <w:tcMar>
              <w:top w:type="dxa" w:w="100"/>
              <w:left w:type="dxa" w:w="120"/>
              <w:bottom w:type="dxa" w:w="100"/>
              <w:right w:type="dxa" w:w="120"/>
            </w:tcMar>
          </w:tcPr>
          <w:p>
            <w:r>
              <w:t xml:space="preserve">₹11,25,000</w:t>
            </w:r>
          </w:p>
        </w:tc>
        <w:tc>
          <w:tcPr>
            <w:tcW w:type="dxa" w:w="1800"/>
            <w:tcMar>
              <w:top w:type="dxa" w:w="100"/>
              <w:left w:type="dxa" w:w="120"/>
              <w:bottom w:type="dxa" w:w="100"/>
              <w:right w:type="dxa" w:w="120"/>
            </w:tcMar>
          </w:tcPr>
          <w:p>
            <w:r>
              <w:t xml:space="preserve">₹1,12,500</w:t>
            </w:r>
          </w:p>
        </w:tc>
        <w:tc>
          <w:tcPr>
            <w:tcW w:type="dxa" w:w="1800"/>
            <w:tcMar>
              <w:top w:type="dxa" w:w="100"/>
              <w:left w:type="dxa" w:w="120"/>
              <w:bottom w:type="dxa" w:w="100"/>
              <w:right w:type="dxa" w:w="120"/>
            </w:tcMar>
          </w:tcPr>
          <w:p>
            <w:r>
              <w:t xml:space="preserve">₹1,68,750</w:t>
            </w:r>
          </w:p>
        </w:tc>
      </w:tr>
      <w:tr>
        <w:tc>
          <w:tcPr>
            <w:tcW w:type="dxa" w:w="2400"/>
            <w:tcMar>
              <w:top w:type="dxa" w:w="100"/>
              <w:left w:type="dxa" w:w="120"/>
              <w:bottom w:type="dxa" w:w="100"/>
              <w:right w:type="dxa" w:w="120"/>
            </w:tcMar>
          </w:tcPr>
          <w:p>
            <w:r>
              <w:t xml:space="preserve">₹500</w:t>
            </w:r>
          </w:p>
        </w:tc>
        <w:tc>
          <w:tcPr>
            <w:tcW w:type="dxa" w:w="3000"/>
            <w:tcMar>
              <w:top w:type="dxa" w:w="100"/>
              <w:left w:type="dxa" w:w="120"/>
              <w:bottom w:type="dxa" w:w="100"/>
              <w:right w:type="dxa" w:w="120"/>
            </w:tcMar>
          </w:tcPr>
          <w:p>
            <w:r>
              <w:t xml:space="preserve">₹18,75,000</w:t>
            </w:r>
          </w:p>
        </w:tc>
        <w:tc>
          <w:tcPr>
            <w:tcW w:type="dxa" w:w="1800"/>
            <w:tcMar>
              <w:top w:type="dxa" w:w="100"/>
              <w:left w:type="dxa" w:w="120"/>
              <w:bottom w:type="dxa" w:w="100"/>
              <w:right w:type="dxa" w:w="120"/>
            </w:tcMar>
          </w:tcPr>
          <w:p>
            <w:r>
              <w:t xml:space="preserve">₹1,87,500</w:t>
            </w:r>
          </w:p>
        </w:tc>
        <w:tc>
          <w:tcPr>
            <w:tcW w:type="dxa" w:w="1800"/>
            <w:tcMar>
              <w:top w:type="dxa" w:w="100"/>
              <w:left w:type="dxa" w:w="120"/>
              <w:bottom w:type="dxa" w:w="100"/>
              <w:right w:type="dxa" w:w="120"/>
            </w:tcMar>
          </w:tcPr>
          <w:p>
            <w:r>
              <w:t xml:space="preserve">₹2,81,250</w:t>
            </w:r>
          </w:p>
        </w:tc>
      </w:tr>
      <w:tr>
        <w:tc>
          <w:tcPr>
            <w:tcW w:type="dxa" w:w="2400"/>
            <w:tcMar>
              <w:top w:type="dxa" w:w="100"/>
              <w:left w:type="dxa" w:w="120"/>
              <w:bottom w:type="dxa" w:w="100"/>
              <w:right w:type="dxa" w:w="120"/>
            </w:tcMar>
          </w:tcPr>
          <w:p>
            <w:r>
              <w:t xml:space="preserve">₹800</w:t>
            </w:r>
          </w:p>
        </w:tc>
        <w:tc>
          <w:tcPr>
            <w:tcW w:type="dxa" w:w="3000"/>
            <w:tcMar>
              <w:top w:type="dxa" w:w="100"/>
              <w:left w:type="dxa" w:w="120"/>
              <w:bottom w:type="dxa" w:w="100"/>
              <w:right w:type="dxa" w:w="120"/>
            </w:tcMar>
          </w:tcPr>
          <w:p>
            <w:r>
              <w:t xml:space="preserve">₹30,00,000</w:t>
            </w:r>
          </w:p>
        </w:tc>
        <w:tc>
          <w:tcPr>
            <w:tcW w:type="dxa" w:w="1800"/>
            <w:tcMar>
              <w:top w:type="dxa" w:w="100"/>
              <w:left w:type="dxa" w:w="120"/>
              <w:bottom w:type="dxa" w:w="100"/>
              <w:right w:type="dxa" w:w="120"/>
            </w:tcMar>
          </w:tcPr>
          <w:p>
            <w:r>
              <w:t xml:space="preserve">₹3,00,000</w:t>
            </w:r>
          </w:p>
        </w:tc>
        <w:tc>
          <w:tcPr>
            <w:tcW w:type="dxa" w:w="1800"/>
            <w:tcMar>
              <w:top w:type="dxa" w:w="100"/>
              <w:left w:type="dxa" w:w="120"/>
              <w:bottom w:type="dxa" w:w="100"/>
              <w:right w:type="dxa" w:w="120"/>
            </w:tcMar>
          </w:tcPr>
          <w:p>
            <w:r>
              <w:t xml:space="preserve">₹4,50,000</w:t>
            </w:r>
          </w:p>
        </w:tc>
      </w:tr>
    </w:tbl>
    <w:p>
      <w:pPr>
        <w:spacing w:after="160" w:line="300"/>
      </w:pPr>
      <w:r>
        <w:t xml:space="preserve">The gap between the two scenarios (roughly ₹20,000–₹30,000/month at pilot stage versus ₹1.1–4.5 lakh/month once scaled across many localities) is the honest picture: early revenue is modest and the business case depends on successfully reaching the density described in Section 3.4, not on provider count alone.</w:t>
      </w:r>
    </w:p>
    <w:p>
      <w:pPr>
        <w:pStyle w:val="Heading2"/>
        <w:spacing w:after="160" w:before="280"/>
      </w:pPr>
      <w:r>
        <w:t xml:space="preserve">4.3 What is not yet included</w:t>
      </w:r>
    </w:p>
    <w:p>
      <w:pPr>
        <w:spacing w:after="160" w:line="300"/>
      </w:pPr>
      <w:r>
        <w:t xml:space="preserve">This paper does not include payment-processing costs, customer support/operations cost, provider acquisition cost, or a formal break-even calculation, since these depend on inputs (team size, salaries, payment-gateway rates) not yet fixed. These are flagged as a required addition once the team has decided its operating structure, rather than estimated without basis here.</w:t>
      </w:r>
    </w:p>
    <w:p>
      <w:pPr>
        <w:pStyle w:val="Heading1"/>
        <w:spacing w:after="200" w:before="360"/>
      </w:pPr>
      <w:r>
        <w:t xml:space="preserve">5. Core Transaction Flow and Pricing Model</w:t>
      </w:r>
    </w:p>
    <w:p>
      <w:pPr>
        <w:pStyle w:val="Heading2"/>
        <w:spacing w:after="160" w:before="280"/>
      </w:pPr>
      <w:r>
        <w:t xml:space="preserve">5.1 The race-to-accept problem</w:t>
      </w:r>
    </w:p>
    <w:p>
      <w:pPr>
        <w:spacing w:after="160" w:line="300"/>
      </w:pPr>
      <w:r>
        <w:t xml:space="preserve">A naive “whoever accepts first gets the job” design creates a perverse incentive: a provider may accept a request without properly knowing the problem, only to under-deliver or renegotiate a higher price once on-site — with the customer now unable to easily switch providers.</w:t>
      </w:r>
    </w:p>
    <w:p>
      <w:pPr>
        <w:pStyle w:val="Heading2"/>
        <w:spacing w:after="160" w:before="280"/>
      </w:pPr>
      <w:r>
        <w:t xml:space="preserve">5.2 Diagnosis-first flow</w:t>
      </w:r>
    </w:p>
    <w:p>
      <w:pPr>
        <w:spacing w:after="160" w:line="300"/>
      </w:pPr>
      <w:r>
        <w:t xml:space="preserve">FixMate resolves this by separating acceptance of a visit from acceptance of a job:</w:t>
      </w:r>
    </w:p>
    <w:p>
      <w:pPr>
        <w:pStyle w:val="ListParagraph"/>
        <w:numPr>
          <w:ilvl w:val="0"/>
          <w:numId w:val="4"/>
        </w:numPr>
        <w:spacing w:after="100" w:line="300"/>
      </w:pPr>
      <w:r>
        <w:t xml:space="preserve">Customer describes the problem/symptoms and requests a provider in the relevant sub-category, either immediately or scheduled for a later time.</w:t>
      </w:r>
    </w:p>
    <w:p>
      <w:pPr>
        <w:pStyle w:val="ListParagraph"/>
        <w:numPr>
          <w:ilvl w:val="0"/>
          <w:numId w:val="4"/>
        </w:numPr>
        <w:spacing w:after="100" w:line="300"/>
      </w:pPr>
      <w:r>
        <w:t xml:space="preserve">An eligible provider is matched (see Section 5.6) and confirms the address, timing, and visit type (home visit vs. customer bringing the item to the shop) by an in-app-logged call.</w:t>
      </w:r>
    </w:p>
    <w:p>
      <w:pPr>
        <w:pStyle w:val="ListParagraph"/>
        <w:numPr>
          <w:ilvl w:val="0"/>
          <w:numId w:val="4"/>
        </w:numPr>
        <w:spacing w:after="100" w:line="300"/>
      </w:pPr>
      <w:r>
        <w:t xml:space="preserve">The provider visits and physically inspects the item or vehicle.</w:t>
      </w:r>
    </w:p>
    <w:p>
      <w:pPr>
        <w:pStyle w:val="ListParagraph"/>
        <w:numPr>
          <w:ilvl w:val="0"/>
          <w:numId w:val="4"/>
        </w:numPr>
        <w:spacing w:after="100" w:line="300"/>
      </w:pPr>
      <w:r>
        <w:t xml:space="preserve">The provider uploads a quoted price on the app — committing to a number only after seeing the real problem, not before — and the customer receives a real-time notification showing the item and the running total (Section 5.5).</w:t>
      </w:r>
    </w:p>
    <w:p>
      <w:pPr>
        <w:pStyle w:val="ListParagraph"/>
        <w:numPr>
          <w:ilvl w:val="0"/>
          <w:numId w:val="4"/>
        </w:numPr>
        <w:spacing w:after="100" w:line="300"/>
      </w:pPr>
      <w:r>
        <w:t xml:space="preserve">The customer can accept the quote (repair proceeds) or decline it (the customer pays only the applicable visiting fee and is free to seek another provider).</w:t>
      </w:r>
    </w:p>
    <w:p>
      <w:pPr>
        <w:pStyle w:val="Heading2"/>
        <w:spacing w:after="160" w:before="280"/>
      </w:pPr>
      <w:r>
        <w:t xml:space="preserve">5.3 Visiting-fee structure and scheduling-based safeguards</w:t>
      </w:r>
    </w:p>
    <w:p>
      <w:pPr>
        <w:spacing w:after="160" w:line="300"/>
      </w:pPr>
      <w:r>
        <w:t xml:space="preserve">Because diagnosis requires the provider's time and travel regardless of outcome, a visiting fee compensates them fairly. The safeguards differ by booking type, matching the actual level of risk:</w:t>
      </w:r>
    </w:p>
    <w:p>
      <w:pPr>
        <w:pStyle w:val="ListParagraph"/>
        <w:numPr>
          <w:ilvl w:val="0"/>
          <w:numId w:val="2"/>
        </w:numPr>
        <w:spacing w:after="100" w:line="300"/>
      </w:pPr>
      <w:r>
        <w:t xml:space="preserve">If the customer declines the repair after diagnosis, the provider is paid a higher visiting-only fee (illustrative: ₹100).</w:t>
      </w:r>
    </w:p>
    <w:p>
      <w:pPr>
        <w:pStyle w:val="ListParagraph"/>
        <w:numPr>
          <w:ilvl w:val="0"/>
          <w:numId w:val="2"/>
        </w:numPr>
        <w:spacing w:after="100" w:line="300"/>
      </w:pPr>
      <w:r>
        <w:t xml:space="preserve">If the customer accepts and the repair proceeds, the provider is paid a lower visiting fee (illustrative: ₹50), since they additionally earn from the repair itself.</w:t>
      </w:r>
    </w:p>
    <w:p>
      <w:pPr>
        <w:pStyle w:val="Heading3"/>
        <w:spacing w:after="120" w:before="220"/>
      </w:pPr>
      <w:r>
        <w:t xml:space="preserve">Scheduled bookings (a real time gap between booking and visit)</w:t>
      </w:r>
    </w:p>
    <w:p>
      <w:pPr>
        <w:pStyle w:val="ListParagraph"/>
        <w:numPr>
          <w:ilvl w:val="0"/>
          <w:numId w:val="5"/>
        </w:numPr>
        <w:spacing w:after="100" w:line="300"/>
      </w:pPr>
      <w:r>
        <w:t xml:space="preserve">On confirming a future time slot, an illustrative ₹100 hold is placed on the customer's in-app wallet as a commitment (not charged yet).</w:t>
      </w:r>
    </w:p>
    <w:p>
      <w:pPr>
        <w:pStyle w:val="ListParagraph"/>
        <w:numPr>
          <w:ilvl w:val="0"/>
          <w:numId w:val="5"/>
        </w:numPr>
        <w:spacing w:after="100" w:line="300"/>
      </w:pPr>
      <w:r>
        <w:t xml:space="preserve">If the customer is not present at the confirmed time, the provider must first log an in-app contact attempt (call/message), then wait 10 minutes, then submit a photo taken inside the app itself — which is automatically GPS- and time-stamped and cross-checked against the customer's registered address and the confirmed appointment window.</w:t>
      </w:r>
    </w:p>
    <w:p>
      <w:pPr>
        <w:pStyle w:val="ListParagraph"/>
        <w:numPr>
          <w:ilvl w:val="0"/>
          <w:numId w:val="5"/>
        </w:numPr>
        <w:spacing w:after="100" w:line="300"/>
      </w:pPr>
      <w:r>
        <w:t xml:space="preserve">Only after this evidence is submitted is the held amount released to the provider. If the provider never arrives, the hold is automatically released back to the customer.</w:t>
      </w:r>
    </w:p>
    <w:p>
      <w:pPr>
        <w:pStyle w:val="Heading3"/>
        <w:spacing w:after="120" w:before="220"/>
      </w:pPr>
      <w:r>
        <w:t xml:space="preserve">Immediate / ASAP bookings (short gap between booking and visit)</w:t>
      </w:r>
    </w:p>
    <w:p>
      <w:pPr>
        <w:spacing w:after="160" w:line="300"/>
      </w:pPr>
      <w:r>
        <w:t xml:space="preserve">Since the time between booking and arrival is short, the wallet-hold step is skipped to keep the urgent flow fast. If the customer is still not present, the same GPS-and-timestamp-verified photo process applies after a shorter wait (illustrative: 5 minutes), and the visiting fee is charged directly to the customer afterward instead of released from a pre-held amount.</w:t>
      </w:r>
    </w:p>
    <w:p>
      <w:pPr>
        <w:pStyle w:val="Heading3"/>
        <w:spacing w:after="120" w:before="220"/>
      </w:pPr>
      <w:r>
        <w:t xml:space="preserve">Provider-side cancellations and no-shows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4472C4" w:color="auto" w:val="clear"/>
            <w:tcMar>
              <w:top w:type="dxa" w:w="100"/>
              <w:left w:type="dxa" w:w="120"/>
              <w:bottom w:type="dxa" w:w="100"/>
              <w:right w:type="dxa" w:w="120"/>
            </w:tcMar>
          </w:tcPr>
          <w:p>
            <w:r>
              <w:rPr>
                <w:b/>
                <w:bCs/>
                <w:color w:val="FFFFFF"/>
              </w:rPr>
              <w:t xml:space="preserve">Situation</w:t>
            </w:r>
          </w:p>
        </w:tc>
        <w:tc>
          <w:tcPr>
            <w:tcW w:type="dxa" w:w="4800"/>
            <w:shd w:fill="4472C4" w:color="auto" w:val="clear"/>
            <w:tcMar>
              <w:top w:type="dxa" w:w="100"/>
              <w:left w:type="dxa" w:w="120"/>
              <w:bottom w:type="dxa" w:w="100"/>
              <w:right w:type="dxa" w:w="120"/>
            </w:tcMar>
          </w:tcPr>
          <w:p>
            <w:r>
              <w:rPr>
                <w:b/>
                <w:bCs/>
                <w:color w:val="FFFFFF"/>
              </w:rPr>
              <w:t xml:space="preserve">Outcome</w:t>
            </w:r>
          </w:p>
        </w:tc>
      </w:tr>
      <w:tr>
        <w:tc>
          <w:tcPr>
            <w:tcW w:type="dxa" w:w="4200"/>
            <w:tcMar>
              <w:top w:type="dxa" w:w="100"/>
              <w:left w:type="dxa" w:w="120"/>
              <w:bottom w:type="dxa" w:w="100"/>
              <w:right w:type="dxa" w:w="120"/>
            </w:tcMar>
          </w:tcPr>
          <w:p>
            <w:r>
              <w:t xml:space="preserve">Provider confirms, then fails to show up or cancels without valid reason</w:t>
            </w:r>
          </w:p>
        </w:tc>
        <w:tc>
          <w:tcPr>
            <w:tcW w:type="dxa" w:w="4800"/>
            <w:tcMar>
              <w:top w:type="dxa" w:w="100"/>
              <w:left w:type="dxa" w:w="120"/>
              <w:bottom w:type="dxa" w:w="100"/>
              <w:right w:type="dxa" w:w="120"/>
            </w:tcMar>
          </w:tcPr>
          <w:p>
            <w:r>
              <w:t xml:space="preserve">Logged as a provider no-show; customer is not charged; incident affects the provider's reliability score</w:t>
            </w:r>
          </w:p>
        </w:tc>
      </w:tr>
      <w:tr>
        <w:tc>
          <w:tcPr>
            <w:tcW w:type="dxa" w:w="4200"/>
            <w:tcMar>
              <w:top w:type="dxa" w:w="100"/>
              <w:left w:type="dxa" w:w="120"/>
              <w:bottom w:type="dxa" w:w="100"/>
              <w:right w:type="dxa" w:w="120"/>
            </w:tcMar>
          </w:tcPr>
          <w:p>
            <w:r>
              <w:t xml:space="preserve">Provider cancels with reasonable notice due to a genuine emergency</w:t>
            </w:r>
          </w:p>
        </w:tc>
        <w:tc>
          <w:tcPr>
            <w:tcW w:type="dxa" w:w="4800"/>
            <w:tcMar>
              <w:top w:type="dxa" w:w="100"/>
              <w:left w:type="dxa" w:w="120"/>
              <w:bottom w:type="dxa" w:w="100"/>
              <w:right w:type="dxa" w:w="120"/>
            </w:tcMar>
          </w:tcPr>
          <w:p>
            <w:r>
              <w:t xml:space="preserve">Logged separately as an excused cancellation, not penalised the same as a no-show</w:t>
            </w:r>
          </w:p>
        </w:tc>
      </w:tr>
      <w:tr>
        <w:tc>
          <w:tcPr>
            <w:tcW w:type="dxa" w:w="4200"/>
            <w:tcMar>
              <w:top w:type="dxa" w:w="100"/>
              <w:left w:type="dxa" w:w="120"/>
              <w:bottom w:type="dxa" w:w="100"/>
              <w:right w:type="dxa" w:w="120"/>
            </w:tcMar>
          </w:tcPr>
          <w:p>
            <w:r>
              <w:t xml:space="preserve">Provider is significantly late without informing the customer</w:t>
            </w:r>
          </w:p>
        </w:tc>
        <w:tc>
          <w:tcPr>
            <w:tcW w:type="dxa" w:w="4800"/>
            <w:tcMar>
              <w:top w:type="dxa" w:w="100"/>
              <w:left w:type="dxa" w:w="120"/>
              <w:bottom w:type="dxa" w:w="100"/>
              <w:right w:type="dxa" w:w="120"/>
            </w:tcMar>
          </w:tcPr>
          <w:p>
            <w:r>
              <w:t xml:space="preserve">Logged as a delay incident; repeated delays reduce visibility ranking</w:t>
            </w:r>
          </w:p>
        </w:tc>
      </w:tr>
      <w:tr>
        <w:tc>
          <w:tcPr>
            <w:tcW w:type="dxa" w:w="4200"/>
            <w:tcMar>
              <w:top w:type="dxa" w:w="100"/>
              <w:left w:type="dxa" w:w="120"/>
              <w:bottom w:type="dxa" w:w="100"/>
              <w:right w:type="dxa" w:w="120"/>
            </w:tcMar>
          </w:tcPr>
          <w:p>
            <w:r>
              <w:t xml:space="preserve">Provider repeatedly cancels or no-shows</w:t>
            </w:r>
          </w:p>
        </w:tc>
        <w:tc>
          <w:tcPr>
            <w:tcW w:type="dxa" w:w="4800"/>
            <w:tcMar>
              <w:top w:type="dxa" w:w="100"/>
              <w:left w:type="dxa" w:w="120"/>
              <w:bottom w:type="dxa" w:w="100"/>
              <w:right w:type="dxa" w:w="120"/>
            </w:tcMar>
          </w:tcPr>
          <w:p>
            <w:r>
              <w:t xml:space="preserve">Escalates to internal review; reduced visibility and, if it continues, suspension</w:t>
            </w:r>
          </w:p>
        </w:tc>
      </w:tr>
    </w:tbl>
    <w:p>
      <w:pPr>
        <w:pStyle w:val="Heading2"/>
        <w:spacing w:after="160" w:before="280"/>
      </w:pPr>
      <w:r>
        <w:t xml:space="preserve">5.4 Change-order flow (mid-repair price revisions)</w:t>
      </w:r>
    </w:p>
    <w:p>
      <w:pPr>
        <w:spacing w:after="160" w:line="300"/>
      </w:pPr>
      <w:r>
        <w:t xml:space="preserve">Electronics and vehicle repairs genuinely can have layered problems not visible until the unit is opened — a rigid “one price only” rule would unfairly constrain honest providers who discover a deeper fault mid-repair. At the same time, an open-ended ability to keep raising the price is a clear opening for abuse. FixMate resolves this with a capped, evidence-logged change-order system:</w:t>
      </w:r>
    </w:p>
    <w:p>
      <w:pPr>
        <w:pStyle w:val="ListParagraph"/>
        <w:numPr>
          <w:ilvl w:val="0"/>
          <w:numId w:val="6"/>
        </w:numPr>
        <w:spacing w:after="100" w:line="300"/>
      </w:pPr>
      <w:r>
        <w:t xml:space="preserve">If the provider discovers an additional issue after work has begun, they submit a revised quote with a specific, logged technical reason (e.g., “capacitor also damaged, +₹300”) — not just a new number.</w:t>
      </w:r>
    </w:p>
    <w:p>
      <w:pPr>
        <w:pStyle w:val="ListParagraph"/>
        <w:numPr>
          <w:ilvl w:val="0"/>
          <w:numId w:val="6"/>
        </w:numPr>
        <w:spacing w:after="100" w:line="300"/>
      </w:pPr>
      <w:r>
        <w:t xml:space="preserve">The customer is notified in real time and can accept or reject the revision.</w:t>
      </w:r>
    </w:p>
    <w:p>
      <w:pPr>
        <w:pStyle w:val="ListParagraph"/>
        <w:numPr>
          <w:ilvl w:val="0"/>
          <w:numId w:val="6"/>
        </w:numPr>
        <w:spacing w:after="100" w:line="300"/>
      </w:pPr>
      <w:r>
        <w:t xml:space="preserve">This is capped at three revisions per job. After the third revision, no further price increases are permitted — the provider must complete the job at the last agreed price.</w:t>
      </w:r>
    </w:p>
    <w:p>
      <w:pPr>
        <w:pStyle w:val="ListParagraph"/>
        <w:numPr>
          <w:ilvl w:val="0"/>
          <w:numId w:val="6"/>
        </w:numPr>
        <w:spacing w:after="100" w:line="300"/>
      </w:pPr>
      <w:r>
        <w:t xml:space="preserve">If the customer rejects a revision at any point, they pay only the amount already agreed up to that point (or the applicable visiting fee if no repair proceeded), and the provider is required to leave the item reassembled in its original physical state, even if unrepaired — protecting the customer from being left with a disassembled item and no recourse.</w:t>
      </w:r>
    </w:p>
    <w:p>
      <w:pPr>
        <w:pStyle w:val="Heading2"/>
        <w:spacing w:after="160" w:before="280"/>
      </w:pPr>
      <w:r>
        <w:t xml:space="preserve">5.5 Customer-requested add-ons and real-time cost visibility</w:t>
      </w:r>
    </w:p>
    <w:p>
      <w:pPr>
        <w:spacing w:after="160" w:line="300"/>
      </w:pPr>
      <w:r>
        <w:t xml:space="preserve">If a customer requests additional work beyond the original booking during the same visit (for example, asking for an AC gas refill while a mechanic is present for a battery issue), this must be logged and quoted in the app before it is carried out, using the same change-order flow as a mid-repair revision. This keeps FixMate's commission applying to the full value of the visit rather than allowing extra work to be quietly handled as a separate, off-platform cash transaction.</w:t>
      </w:r>
    </w:p>
    <w:p>
      <w:pPr>
        <w:spacing w:after="160" w:line="300"/>
      </w:pPr>
      <w:r>
        <w:t xml:space="preserve">Every cost added during a job — the visiting fee, the initial quote, any revision, or any add-on — triggers a real-time notification to the customer showing what was just added and the running total so far. This prevents bill-shock at the end of the job and makes it immediately apparent to the customer if something the provider mentioned verbally was not actually logged in the app.</w:t>
      </w:r>
    </w:p>
    <w:p>
      <w:pPr>
        <w:pStyle w:val="Heading2"/>
        <w:spacing w:after="160" w:before="280"/>
      </w:pPr>
      <w:r>
        <w:t xml:space="preserve">5.6 Matching logic</w:t>
      </w:r>
    </w:p>
    <w:p>
      <w:pPr>
        <w:spacing w:after="160" w:line="300"/>
      </w:pPr>
      <w:r>
        <w:t xml:space="preserve">An earlier draft of this plan referenced Uber's matching as a “honeycomb method.” On review, this is not accurate: Uber's own public explanation of its matching system is called batched matching, not a honeycomb method. (Uber does use a separate hexagonal geospatial-indexing system called H3 for tasks like visualising supply and demand and calculating surge pricing across zones — a different tool from the actual rider-driver matching process.) The correct underlying idea worth borrowing is batched matching: rather than instantly locking a request to whichever nearby driver responds fastest, a group of eligible drivers and riders is evaluated together a few seconds after a request, to produce better overall matches rather than just the single fastest pairing.</w:t>
      </w:r>
    </w:p>
    <w:p>
      <w:pPr>
        <w:spacing w:after="160" w:line="300"/>
      </w:pPr>
      <w:r>
        <w:t xml:space="preserve">Scaled to FixMate's size, the proposed matching process is:</w:t>
      </w:r>
    </w:p>
    <w:p>
      <w:pPr>
        <w:pStyle w:val="ListParagraph"/>
        <w:numPr>
          <w:ilvl w:val="0"/>
          <w:numId w:val="7"/>
        </w:numPr>
        <w:spacing w:after="100" w:line="300"/>
      </w:pPr>
      <w:r>
        <w:t xml:space="preserve">Identify all eligible providers for the request — matching declared sub-skill, verification status, availability, and service radius.</w:t>
      </w:r>
    </w:p>
    <w:p>
      <w:pPr>
        <w:pStyle w:val="ListParagraph"/>
        <w:numPr>
          <w:ilvl w:val="0"/>
          <w:numId w:val="7"/>
        </w:numPr>
        <w:spacing w:after="100" w:line="300"/>
      </w:pPr>
      <w:r>
        <w:t xml:space="preserve">Send the request to this eligible group simultaneously, with a short response window (illustrative: 60–90 seconds).</w:t>
      </w:r>
    </w:p>
    <w:p>
      <w:pPr>
        <w:pStyle w:val="ListParagraph"/>
        <w:numPr>
          <w:ilvl w:val="0"/>
          <w:numId w:val="7"/>
        </w:numPr>
        <w:spacing w:after="100" w:line="300"/>
      </w:pPr>
      <w:r>
        <w:t xml:space="preserve">Among providers who respond within the window, assign the job based on a combination of proximity and rating/reliability — not raw response speed alone — so a slightly farther but highly-rated provider is not automatically beaten by a nearby but poorly-rated one who simply tapped faster.</w:t>
      </w:r>
    </w:p>
    <w:p>
      <w:pPr>
        <w:pStyle w:val="ListParagraph"/>
        <w:numPr>
          <w:ilvl w:val="0"/>
          <w:numId w:val="7"/>
        </w:numPr>
        <w:spacing w:after="100" w:line="300"/>
      </w:pPr>
      <w:r>
        <w:t xml:space="preserve">If no provider responds within the window, the search radius automatically widens and the request is re-broadcast.</w:t>
      </w:r>
    </w:p>
    <w:p>
      <w:pPr>
        <w:pStyle w:val="Heading2"/>
        <w:spacing w:after="160" w:before="280"/>
      </w:pPr>
      <w:r>
        <w:t xml:space="preserve">5.7 Fallback when no provider is available</w:t>
      </w:r>
    </w:p>
    <w:p>
      <w:pPr>
        <w:spacing w:after="160" w:line="300"/>
      </w:pPr>
      <w:r>
        <w:t xml:space="preserve">A request that returns zero available providers must never end on a dead-end screen — doing so risks the customer abandoning the app entirely on their first use. The proposed fallback sequence:</w:t>
      </w:r>
    </w:p>
    <w:p>
      <w:pPr>
        <w:pStyle w:val="ListParagraph"/>
        <w:numPr>
          <w:ilvl w:val="0"/>
          <w:numId w:val="2"/>
        </w:numPr>
        <w:spacing w:after="100" w:line="300"/>
      </w:pPr>
      <w:r>
        <w:t xml:space="preserve">Automatically widen the search radius and re-check for availability, being transparent with the customer if a matched provider is coming from further away.</w:t>
      </w:r>
    </w:p>
    <w:p>
      <w:pPr>
        <w:pStyle w:val="ListParagraph"/>
        <w:numPr>
          <w:ilvl w:val="0"/>
          <w:numId w:val="2"/>
        </w:numPr>
        <w:spacing w:after="100" w:line="300"/>
      </w:pPr>
      <w:r>
        <w:t xml:space="preserve">If still no provider is available, offer to notify the customer the moment one comes online, rather than requiring them to keep re-opening the app.</w:t>
      </w:r>
    </w:p>
    <w:p>
      <w:pPr>
        <w:pStyle w:val="ListParagraph"/>
        <w:numPr>
          <w:ilvl w:val="0"/>
          <w:numId w:val="2"/>
        </w:numPr>
        <w:spacing w:after="100" w:line="300"/>
      </w:pPr>
      <w:r>
        <w:t xml:space="preserve">Offer a scheduled booking as an alternative to an immediate one, so the customer's need is still captured even if it cannot be met instantly.</w:t>
      </w:r>
    </w:p>
    <w:p>
      <w:pPr>
        <w:pStyle w:val="ListParagraph"/>
        <w:numPr>
          <w:ilvl w:val="0"/>
          <w:numId w:val="2"/>
        </w:numPr>
        <w:spacing w:after="100" w:line="300"/>
      </w:pPr>
      <w:r>
        <w:t xml:space="preserve">Be explicit, especially in the early pilot stage, that round-the-clock coverage in every category will take time to build as provider density grows — overpromising availability the platform cannot yet deliver would damage trust the first time it fails.</w:t>
      </w:r>
    </w:p>
    <w:p>
      <w:pPr>
        <w:pStyle w:val="Heading2"/>
        <w:spacing w:after="160" w:before="280"/>
      </w:pPr>
      <w:r>
        <w:t xml:space="preserve">5.8 Repair cost structure</w:t>
      </w:r>
    </w:p>
    <w:p>
      <w:pPr>
        <w:pStyle w:val="ListParagraph"/>
        <w:numPr>
          <w:ilvl w:val="0"/>
          <w:numId w:val="2"/>
        </w:numPr>
        <w:spacing w:after="100" w:line="300"/>
      </w:pPr>
      <w:r>
        <w:t xml:space="preserve">Parts / new components with an authenticity marking (QR code, serial number, or similar) — common for higher-value branded components such as batteries or compressors — are scanned and logged in the app, creating a verifiable, checkable record.</w:t>
      </w:r>
    </w:p>
    <w:p>
      <w:pPr>
        <w:pStyle w:val="ListParagraph"/>
        <w:numPr>
          <w:ilvl w:val="0"/>
          <w:numId w:val="2"/>
        </w:numPr>
        <w:spacing w:after="100" w:line="300"/>
      </w:pPr>
      <w:r>
        <w:t xml:space="preserve">Loose or generic parts without any such marking (a large share of everyday repairs — capacitors, wiring, small fittings) cannot be authenticity-checked this way. Instead, providers maintain a price list for these items in their profile; as more providers in the same locality log prices for the same part, FixMate calculates a fair reference range from that real, self-generated data (avoiding dependence on an external pricing database). A provider charging meaningfully above that range is flagged to the customer with the provider's stated reason (e.g., a claimed premium/branded source), rather than blocked outright, since genuine quality differences exist.</w:t>
      </w:r>
    </w:p>
    <w:p>
      <w:pPr>
        <w:pStyle w:val="ListParagraph"/>
        <w:numPr>
          <w:ilvl w:val="0"/>
          <w:numId w:val="2"/>
        </w:numPr>
        <w:spacing w:after="100" w:line="300"/>
      </w:pPr>
      <w:r>
        <w:t xml:space="preserve">Labour is charged on an hourly basis (illustrative: ₹100/hour).</w:t>
      </w:r>
    </w:p>
    <w:p>
      <w:pPr>
        <w:spacing w:after="160" w:line="300"/>
      </w:pPr>
      <w:r>
        <w:t xml:space="preserve">This price-transparency mechanism is explicitly distinguished from a guarantee of part authenticity: FixMate verifies pricing and, where a marking exists, the part's declared identity, but does not claim to guarantee that the specific unit installed matches the one shown — that would require physical inspection FixMate is not positioned to perform at this stage.</w:t>
      </w:r>
    </w:p>
    <w:p>
      <w:pPr>
        <w:pStyle w:val="Heading2"/>
        <w:spacing w:after="160" w:before="280"/>
      </w:pPr>
      <w:r>
        <w:t xml:space="preserve">5.9 Roadside assistance flow and its safety boundary</w:t>
      </w:r>
    </w:p>
    <w:p>
      <w:pPr>
        <w:spacing w:after="160" w:line="300"/>
      </w:pPr>
      <w:r>
        <w:t xml:space="preserve">For vehicles stuck at the roadside (tyre burst, dead battery, minor mechanical fault, or an empty fuel tank), the same diagnose-then-quote logic applies, adapted for urgency, with the pricing and change-order rules above still governing cost:</w:t>
      </w:r>
    </w:p>
    <w:p>
      <w:pPr>
        <w:pStyle w:val="ListParagraph"/>
        <w:numPr>
          <w:ilvl w:val="0"/>
          <w:numId w:val="2"/>
        </w:numPr>
        <w:spacing w:after="100" w:line="300"/>
      </w:pPr>
      <w:r>
        <w:t xml:space="preserve">Tyre burst / dead battery / minor fault: mechanic is dispatched to the spot and repairs on-site.</w:t>
      </w:r>
    </w:p>
    <w:p>
      <w:pPr>
        <w:pStyle w:val="ListParagraph"/>
        <w:numPr>
          <w:ilvl w:val="0"/>
          <w:numId w:val="2"/>
        </w:numPr>
        <w:spacing w:after="100" w:line="300"/>
      </w:pPr>
      <w:r>
        <w:t xml:space="preserve">Out of fuel: FixMate does not offer fuel delivery, since transporting fuel outside licensed pumps carries real legal and fire-safety restrictions in India. Instead, the assigned mechanic tows the vehicle to the nearest petrol pump or their own shop.</w:t>
      </w:r>
    </w:p>
    <w:p>
      <w:pPr>
        <w:pStyle w:val="ListParagraph"/>
        <w:numPr>
          <w:ilvl w:val="0"/>
          <w:numId w:val="2"/>
        </w:numPr>
        <w:spacing w:after="100" w:line="300"/>
      </w:pPr>
      <w:r>
        <w:t xml:space="preserve">Towing is not a separate system with its own supply pool — it is simply one more capability a garage declares on its profile at registration, alongside repairs, modifications, and painting, matched using the same skill-matching logic as every other category. A garage's own registered employees can be dispatched for a towing job, avoiding a second, parallel cold-start problem specific to towing.</w:t>
      </w:r>
    </w:p>
    <w:p>
      <w:pPr>
        <w:pStyle w:val="Heading3"/>
        <w:spacing w:after="120" w:before="220"/>
      </w:pPr>
      <w:r>
        <w:t xml:space="preserve">Explicit safety and emergency-escalation boundary</w:t>
      </w:r>
    </w:p>
    <w:p>
      <w:pPr>
        <w:spacing w:after="160" w:line="300"/>
      </w:pPr>
      <w:r>
        <w:t xml:space="preserve">FixMate's roadside assistance is explicitly scoped to a vehicle that can be safely stopped at the roadside — not an active accident, an injury, or a vehicle blocking live traffic. This boundary needs to be stated in the product itself, not merely assumed:</w:t>
      </w:r>
    </w:p>
    <w:p>
      <w:pPr>
        <w:pStyle w:val="ListParagraph"/>
        <w:numPr>
          <w:ilvl w:val="0"/>
          <w:numId w:val="2"/>
        </w:numPr>
        <w:spacing w:after="100" w:line="300"/>
      </w:pPr>
      <w:r>
        <w:t xml:space="preserve">If the customer indicates an accident, injury, or a vehicle blocking active traffic (through a flagged option or detected keywords), the app immediately and prominently surfaces emergency and traffic-police contact numbers, and de-prioritises routing the request to a mechanic, since these situations require trained emergency responders, not a repair technician.</w:t>
      </w:r>
    </w:p>
    <w:p>
      <w:pPr>
        <w:pStyle w:val="ListParagraph"/>
        <w:numPr>
          <w:ilvl w:val="0"/>
          <w:numId w:val="2"/>
        </w:numPr>
        <w:spacing w:after="100" w:line="300"/>
      </w:pPr>
      <w:r>
        <w:t xml:space="preserve">A standing disclaimer within the roadside section states plainly that FixMate is for breakdowns such as tyre, battery, and minor faults — not accidents or medical emergencies — and directs the user to call emergency services first in those cases.</w:t>
      </w:r>
    </w:p>
    <w:p>
      <w:pPr>
        <w:pStyle w:val="ListParagraph"/>
        <w:numPr>
          <w:ilvl w:val="0"/>
          <w:numId w:val="2"/>
        </w:numPr>
        <w:spacing w:after="100" w:line="300"/>
      </w:pPr>
      <w:r>
        <w:t xml:space="preserve">Recovering a vehicle from active, live traffic is treated as outside what any local garage tow vehicle can safely or legally provide, regardless of FixMate's matching system; the app prompts the user to first move the vehicle to the roadside if safely possible, or contact traffic police, before a mechanic is dispatched.</w:t>
      </w:r>
    </w:p>
    <w:p>
      <w:pPr>
        <w:pStyle w:val="Heading1"/>
        <w:spacing w:after="200" w:before="360"/>
      </w:pPr>
      <w:r>
        <w:t xml:space="preserve">6. Trust, Safety, and Verification</w:t>
      </w:r>
    </w:p>
    <w:p>
      <w:pPr>
        <w:spacing w:after="160" w:line="300"/>
      </w:pPr>
      <w:r>
        <w:t xml:space="preserve">Because FixMate involves strangers entering a customer's home or meeting them on the roadside, trust and accountability are treated as core product requirements, not an afterthought.</w:t>
      </w:r>
    </w:p>
    <w:p>
      <w:pPr>
        <w:pStyle w:val="Heading2"/>
        <w:spacing w:after="160" w:before="280"/>
      </w:pPr>
      <w:r>
        <w:t xml:space="preserve">6.1 Onboarding verification</w:t>
      </w:r>
    </w:p>
    <w:p>
      <w:pPr>
        <w:pStyle w:val="ListParagraph"/>
        <w:numPr>
          <w:ilvl w:val="0"/>
          <w:numId w:val="2"/>
        </w:numPr>
        <w:spacing w:after="100" w:line="300"/>
      </w:pPr>
      <w:r>
        <w:t xml:space="preserve">Shop-owning providers: verified via ID proof and shop/business proof (e.g., shop licence or electricity bill in the shop's name), and cross-checked where available against the shop's existing Google Maps rating — read only, as a trust signal, not written to (see Section 6.3).</w:t>
      </w:r>
    </w:p>
    <w:p>
      <w:pPr>
        <w:pStyle w:val="ListParagraph"/>
        <w:numPr>
          <w:ilvl w:val="0"/>
          <w:numId w:val="2"/>
        </w:numPr>
        <w:spacing w:after="100" w:line="300"/>
      </w:pPr>
      <w:r>
        <w:t xml:space="preserve">Individual providers without a shop: verified via ID proof and, where available, a reference from a previous employer, and issued a “FixMate Verified” badge after a short onboarding/orientation covering diagnosis-before-quoting practice and platform pricing/dispute norms.</w:t>
      </w:r>
    </w:p>
    <w:p>
      <w:pPr>
        <w:pStyle w:val="Heading2"/>
        <w:spacing w:after="160" w:before="280"/>
      </w:pPr>
      <w:r>
        <w:t xml:space="preserve">6.2 Provider competency — identity-verified is not the same as skill-verified</w:t>
      </w:r>
    </w:p>
    <w:p>
      <w:pPr>
        <w:spacing w:after="160" w:line="300"/>
      </w:pPr>
      <w:r>
        <w:t xml:space="preserve">Identity and shop/business verification confirm who a provider is, not that they are skilled at the job. FixMate does not claim to verify technical competency through a formal exam at onboarding — that would be expensive and difficult to run credibly at this stage. Instead, competency is treated as something demonstrated over real transactions:</w:t>
      </w:r>
    </w:p>
    <w:p>
      <w:pPr>
        <w:pStyle w:val="ListParagraph"/>
        <w:numPr>
          <w:ilvl w:val="0"/>
          <w:numId w:val="8"/>
        </w:numPr>
        <w:spacing w:after="100" w:line="300"/>
      </w:pPr>
      <w:r>
        <w:t xml:space="preserve">At onboarding, every provider declares their specific specialty/sub-skills (e.g., “AC and refrigerator repair” rather than a broad category) — this feeds directly into the matching system described in Section 5.6, so a provider only receives requests matching what they have declared.</w:t>
      </w:r>
    </w:p>
    <w:p>
      <w:pPr>
        <w:pStyle w:val="ListParagraph"/>
        <w:numPr>
          <w:ilvl w:val="0"/>
          <w:numId w:val="8"/>
        </w:numPr>
        <w:spacing w:after="100" w:line="300"/>
      </w:pPr>
      <w:r>
        <w:t xml:space="preserve">A declared specialty is a claim, not proof, so every new provider — shop owner or individual — starts with capped initial visibility and a smaller job radius, regardless of what they have declared.</w:t>
      </w:r>
    </w:p>
    <w:p>
      <w:pPr>
        <w:pStyle w:val="ListParagraph"/>
        <w:numPr>
          <w:ilvl w:val="0"/>
          <w:numId w:val="8"/>
        </w:numPr>
        <w:spacing w:after="100" w:line="300"/>
      </w:pPr>
      <w:r>
        <w:t xml:space="preserve">Their actual customer ratings on their first several real jobs function as the practical skill verification: strong ratings within a specific declared specialty expand visibility for that specialty; poor ratings restrict it, even if the same provider performs well in a different specialty they also listed.</w:t>
      </w:r>
    </w:p>
    <w:p>
      <w:pPr>
        <w:spacing w:after="160" w:line="300"/>
      </w:pPr>
      <w:r>
        <w:t xml:space="preserve">This distinction — identity verified vs. skill verified — is treated as a genuine limitation to be upfront about, rather than a fully solved problem. Skill is treated as continuously demonstrated through evidence (ratings, job history), not established once at sign-up.</w:t>
      </w:r>
    </w:p>
    <w:p>
      <w:pPr>
        <w:pStyle w:val="Heading2"/>
        <w:spacing w:after="160" w:before="280"/>
      </w:pPr>
      <w:r>
        <w:t xml:space="preserve">6.3 Google Maps ratings — a clarified, feasible design</w:t>
      </w:r>
    </w:p>
    <w:p>
      <w:pPr>
        <w:spacing w:after="160" w:line="300"/>
      </w:pPr>
      <w:r>
        <w:t xml:space="preserve">An earlier draft of this idea considered pushing FixMate's in-app ratings onto a provider's Google Maps listing automatically. This is not technically or legally feasible — there is no mechanism for a third-party app to post reviews on a user's behalf onto Google Maps, and attempting to do so would constitute review manipulation under Google's policies. The corrected, implementable design is: FixMate displays a shop's existing, publicly available Google rating within the app (read-only, via the Google Places API) as a trust signal at onboarding and browsing time, and after a completed job, prompts the customer with a link to optionally leave a review directly on the provider's Google listing, through the customer's own Google account. FixMate's own in-app rating system remains entirely separate, and the two are never conflated in the provider-profile UI.</w:t>
      </w:r>
    </w:p>
    <w:p>
      <w:pPr>
        <w:pStyle w:val="Heading2"/>
        <w:spacing w:after="160" w:before="280"/>
      </w:pPr>
      <w:r>
        <w:t xml:space="preserve">6.4 Evidence-based dispute resolution</w:t>
      </w:r>
    </w:p>
    <w:p>
      <w:pPr>
        <w:spacing w:after="160" w:line="300"/>
      </w:pPr>
      <w:r>
        <w:t xml:space="preserve">Rather than banning a provider on the basis of a small number of unverified complaints — which risks penalising honest professional disagreement and carries defamation risk if a public “scammer” label is applied without proof — FixMate uses a structured evidence trail:</w:t>
      </w:r>
    </w:p>
    <w:p>
      <w:pPr>
        <w:pStyle w:val="ListParagraph"/>
        <w:numPr>
          <w:ilvl w:val="0"/>
          <w:numId w:val="9"/>
        </w:numPr>
        <w:spacing w:after="100" w:line="300"/>
      </w:pPr>
      <w:r>
        <w:t xml:space="preserve">When a provider declines to repair an item, they must log the specific technical reason (e.g., “motherboard damaged”), not a vague justification.</w:t>
      </w:r>
    </w:p>
    <w:p>
      <w:pPr>
        <w:pStyle w:val="ListParagraph"/>
        <w:numPr>
          <w:ilvl w:val="0"/>
          <w:numId w:val="9"/>
        </w:numPr>
        <w:spacing w:after="100" w:line="300"/>
      </w:pPr>
      <w:r>
        <w:t xml:space="preserve">If the customer then has the item repaired by a second provider, that provider must also log what work was actually done, and specifically, whether it was a permanent/standard repair or a temporary/workaround fix — this distinction matters, because a temporary patch by a second provider does not necessarily contradict the first provider's original diagnosis; only a genuine mismatch (e.g., the second provider also confirms the same major fault and performs the same major fix) is treated as a red flag.</w:t>
      </w:r>
    </w:p>
    <w:p>
      <w:pPr>
        <w:pStyle w:val="ListParagraph"/>
        <w:numPr>
          <w:ilvl w:val="0"/>
          <w:numId w:val="9"/>
        </w:numPr>
        <w:spacing w:after="100" w:line="300"/>
      </w:pPr>
      <w:r>
        <w:t xml:space="preserve">A complaint against the first provider can be supported with the second provider's logged record for comparison.</w:t>
      </w:r>
    </w:p>
    <w:p>
      <w:pPr>
        <w:pStyle w:val="ListParagraph"/>
        <w:numPr>
          <w:ilvl w:val="0"/>
          <w:numId w:val="9"/>
        </w:numPr>
        <w:spacing w:after="100" w:line="300"/>
      </w:pPr>
      <w:r>
        <w:t xml:space="preserve">Multiple, repeated contradictions against the same provider — not a single incident — trigger a temporary suspension pending internal review, rather than an immediate public ban, protecting honest providers from false positives.</w:t>
      </w:r>
    </w:p>
    <w:p>
      <w:pPr>
        <w:pStyle w:val="ListParagraph"/>
        <w:numPr>
          <w:ilvl w:val="0"/>
          <w:numId w:val="9"/>
        </w:numPr>
        <w:spacing w:after="100" w:line="300"/>
      </w:pPr>
      <w:r>
        <w:t xml:space="preserve">Complaint outcomes and ratings are tied to the shop/provider profile as the accountable unit; where a shop's employee is dispatched, the specific employee is logged internally for the shop owner's own accountability, while the customer-facing rating attaches to the shop.</w:t>
      </w:r>
    </w:p>
    <w:p>
      <w:pPr>
        <w:pStyle w:val="Heading2"/>
        <w:spacing w:after="160" w:before="280"/>
      </w:pPr>
      <w:r>
        <w:t xml:space="preserve">6.5 Damage and liability framework</w:t>
      </w:r>
    </w:p>
    <w:p>
      <w:pPr>
        <w:spacing w:after="160" w:line="300"/>
      </w:pPr>
      <w:r>
        <w:t xml:space="preserve">If a provider damages an appliance, a customer's home, or a vehicle during a job, FixMate's realistic MVP-stage response is facilitation and accountability, not an insurance guarantee it is not yet equipped to offer:</w:t>
      </w:r>
    </w:p>
    <w:p>
      <w:pPr>
        <w:pStyle w:val="ListParagraph"/>
        <w:numPr>
          <w:ilvl w:val="0"/>
          <w:numId w:val="10"/>
        </w:numPr>
        <w:spacing w:after="100" w:line="300"/>
      </w:pPr>
      <w:r>
        <w:t xml:space="preserve">Before starting work, the provider logs a photo of the item/area's existing condition; another photo is logged on completion or if work stops — extending the same evidence-based logic used elsewhere in the system.</w:t>
      </w:r>
    </w:p>
    <w:p>
      <w:pPr>
        <w:pStyle w:val="ListParagraph"/>
        <w:numPr>
          <w:ilvl w:val="0"/>
          <w:numId w:val="10"/>
        </w:numPr>
        <w:spacing w:after="100" w:line="300"/>
      </w:pPr>
      <w:r>
        <w:t xml:space="preserve">The customer has a defined window after job completion (illustrative: 24–48 hours) to report damage, with their own supporting photos.</w:t>
      </w:r>
    </w:p>
    <w:p>
      <w:pPr>
        <w:pStyle w:val="ListParagraph"/>
        <w:numPr>
          <w:ilvl w:val="0"/>
          <w:numId w:val="10"/>
        </w:numPr>
        <w:spacing w:after="100" w:line="300"/>
      </w:pPr>
      <w:r>
        <w:t xml:space="preserve">FixMate compares the before/after photos, the customer's complaint evidence, and the logged diagnosis/repair notes to assess whether the claimed damage is plausibly connected to the work performed.</w:t>
      </w:r>
    </w:p>
    <w:p>
      <w:pPr>
        <w:pStyle w:val="ListParagraph"/>
        <w:numPr>
          <w:ilvl w:val="0"/>
          <w:numId w:val="10"/>
        </w:numPr>
        <w:spacing w:after="100" w:line="300"/>
      </w:pPr>
      <w:r>
        <w:t xml:space="preserve">Where damage is connected to the provider's work, FixMate facilitates a resolution directly between the provider and customer (repair, partial refund) and removes repeat offenders from the platform; FixMate does not currently underwrite or insure damage claims itself.</w:t>
      </w:r>
    </w:p>
    <w:p>
      <w:pPr>
        <w:pStyle w:val="ListParagraph"/>
        <w:numPr>
          <w:ilvl w:val="0"/>
          <w:numId w:val="10"/>
        </w:numPr>
        <w:spacing w:after="100" w:line="300"/>
      </w:pPr>
      <w:r>
        <w:t xml:space="preserve">As the platform scales, exploring a group insurance product or a provider protection fund is noted as a Phase 2/3 roadmap item (Section 9), not an MVP claim.</w:t>
      </w:r>
    </w:p>
    <w:p>
      <w:pPr>
        <w:pStyle w:val="Heading2"/>
        <w:spacing w:after="160" w:before="280"/>
      </w:pPr>
      <w:r>
        <w:t xml:space="preserve">6.6 Off-platform leakage and retention</w:t>
      </w:r>
    </w:p>
    <w:p>
      <w:pPr>
        <w:spacing w:after="160" w:line="300"/>
      </w:pPr>
      <w:r>
        <w:t xml:space="preserve">Once a customer has found a trustworthy provider through FixMate, nothing technically prevents them from contacting that provider directly for future jobs, bypassing the platform and its commission entirely. No marketplace of this kind (Urban Company, TaskRabbit, and others included) fully solves this; FixMate's approach is to make staying on-platform the more valuable choice, for both sides, rather than claiming to prevent leakage outright:</w:t>
      </w:r>
    </w:p>
    <w:p>
      <w:pPr>
        <w:pStyle w:val="ListParagraph"/>
        <w:numPr>
          <w:ilvl w:val="0"/>
          <w:numId w:val="2"/>
        </w:numPr>
        <w:spacing w:after="100" w:line="300"/>
      </w:pPr>
      <w:r>
        <w:t xml:space="preserve">For customers: a digital service history (what was done, what parts were used, any warranty note) tied to the app; payment protection and a documented dispute process that only exists for in-app transactions; warranty/service reminders tied to logged jobs.</w:t>
      </w:r>
    </w:p>
    <w:p>
      <w:pPr>
        <w:pStyle w:val="ListParagraph"/>
        <w:numPr>
          <w:ilvl w:val="0"/>
          <w:numId w:val="2"/>
        </w:numPr>
        <w:spacing w:after="100" w:line="300"/>
      </w:pPr>
      <w:r>
        <w:t xml:space="preserve">For providers: reputation and ranking are built entirely from in-app job history, which is valuable for attracting new customers, not just retaining known ones; one-tap rebooking with a previous provider is faster for both sides than an ad-hoc phone arrangement.</w:t>
      </w:r>
    </w:p>
    <w:p>
      <w:pPr>
        <w:pStyle w:val="ListParagraph"/>
        <w:numPr>
          <w:ilvl w:val="0"/>
          <w:numId w:val="2"/>
        </w:numPr>
        <w:spacing w:after="100" w:line="300"/>
      </w:pPr>
      <w:r>
        <w:t xml:space="preserve">Most of FixMate's volume is expected to come from a customer discovering a new provider for a new problem — the layer FixMate structurally owns — rather than from repeat visits to an already-known provider, where leakage risk is naturally concentrated.</w:t>
      </w:r>
    </w:p>
    <w:p>
      <w:pPr>
        <w:pStyle w:val="Heading1"/>
        <w:spacing w:after="200" w:before="360"/>
      </w:pPr>
      <w:r>
        <w:t xml:space="preserve">7. Competitive Landscape</w:t>
      </w:r>
    </w:p>
    <w:p>
      <w:pPr>
        <w:spacing w:after="160" w:line="300"/>
      </w:pPr>
      <w:r>
        <w:t xml:space="preserve">A review of the existing market shows this space is not empty, and an honest, specific comparison is necessary rather than a claim of being entirely novel.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4472C4" w:color="auto" w:val="clear"/>
            <w:tcMar>
              <w:top w:type="dxa" w:w="100"/>
              <w:left w:type="dxa" w:w="120"/>
              <w:bottom w:type="dxa" w:w="100"/>
              <w:right w:type="dxa" w:w="120"/>
            </w:tcMar>
          </w:tcPr>
          <w:p>
            <w:r>
              <w:rPr>
                <w:b/>
                <w:bCs/>
                <w:color w:val="FFFFFF"/>
              </w:rPr>
              <w:t xml:space="preserve">Player</w:t>
            </w:r>
          </w:p>
        </w:tc>
        <w:tc>
          <w:tcPr>
            <w:tcW w:type="dxa" w:w="3400"/>
            <w:shd w:fill="4472C4" w:color="auto" w:val="clear"/>
            <w:tcMar>
              <w:top w:type="dxa" w:w="100"/>
              <w:left w:type="dxa" w:w="120"/>
              <w:bottom w:type="dxa" w:w="100"/>
              <w:right w:type="dxa" w:w="120"/>
            </w:tcMar>
          </w:tcPr>
          <w:p>
            <w:r>
              <w:rPr>
                <w:b/>
                <w:bCs/>
                <w:color w:val="FFFFFF"/>
              </w:rPr>
              <w:t xml:space="preserve">Model</w:t>
            </w:r>
          </w:p>
        </w:tc>
        <w:tc>
          <w:tcPr>
            <w:tcW w:type="dxa" w:w="3000"/>
            <w:shd w:fill="4472C4" w:color="auto" w:val="clear"/>
            <w:tcMar>
              <w:top w:type="dxa" w:w="100"/>
              <w:left w:type="dxa" w:w="120"/>
              <w:bottom w:type="dxa" w:w="100"/>
              <w:right w:type="dxa" w:w="120"/>
            </w:tcMar>
          </w:tcPr>
          <w:p>
            <w:r>
              <w:rPr>
                <w:b/>
                <w:bCs/>
                <w:color w:val="FFFFFF"/>
              </w:rPr>
              <w:t xml:space="preserve">How FixMate differs</w:t>
            </w:r>
          </w:p>
        </w:tc>
      </w:tr>
      <w:tr>
        <w:tc>
          <w:tcPr>
            <w:tcW w:type="dxa" w:w="2600"/>
            <w:tcMar>
              <w:top w:type="dxa" w:w="100"/>
              <w:left w:type="dxa" w:w="120"/>
              <w:bottom w:type="dxa" w:w="100"/>
              <w:right w:type="dxa" w:w="120"/>
            </w:tcMar>
          </w:tcPr>
          <w:p>
            <w:r>
              <w:t xml:space="preserve">Urban Company</w:t>
            </w:r>
          </w:p>
        </w:tc>
        <w:tc>
          <w:tcPr>
            <w:tcW w:type="dxa" w:w="3400"/>
            <w:tcMar>
              <w:top w:type="dxa" w:w="100"/>
              <w:left w:type="dxa" w:w="120"/>
              <w:bottom w:type="dxa" w:w="100"/>
              <w:right w:type="dxa" w:w="120"/>
            </w:tcMar>
          </w:tcPr>
          <w:p>
            <w:r>
              <w:t xml:space="preserve">Closed network of company-vetted, often company-affiliated professionals; fixed, premium pricing</w:t>
            </w:r>
          </w:p>
        </w:tc>
        <w:tc>
          <w:tcPr>
            <w:tcW w:type="dxa" w:w="3000"/>
            <w:tcMar>
              <w:top w:type="dxa" w:w="100"/>
              <w:left w:type="dxa" w:w="120"/>
              <w:bottom w:type="dxa" w:w="100"/>
              <w:right w:type="dxa" w:w="120"/>
            </w:tcMar>
          </w:tcPr>
          <w:p>
            <w:r>
              <w:t xml:space="preserve">Open marketplace — any verified local repairer or shop can list; negotiable, diagnosis-first pricing; targets cost-conscious middle-class households rather than convenience-first premium customers</w:t>
            </w:r>
          </w:p>
        </w:tc>
      </w:tr>
      <w:tr>
        <w:tc>
          <w:tcPr>
            <w:tcW w:type="dxa" w:w="2600"/>
            <w:tcMar>
              <w:top w:type="dxa" w:w="100"/>
              <w:left w:type="dxa" w:w="120"/>
              <w:bottom w:type="dxa" w:w="100"/>
              <w:right w:type="dxa" w:w="120"/>
            </w:tcMar>
          </w:tcPr>
          <w:p>
            <w:r>
              <w:t xml:space="preserve">Localoye, Housejoy, Zimmber, Timesaverz (earlier-generation local-services apps)</w:t>
            </w:r>
          </w:p>
        </w:tc>
        <w:tc>
          <w:tcPr>
            <w:tcW w:type="dxa" w:w="3400"/>
            <w:tcMar>
              <w:top w:type="dxa" w:w="100"/>
              <w:left w:type="dxa" w:w="120"/>
              <w:bottom w:type="dxa" w:w="100"/>
              <w:right w:type="dxa" w:w="120"/>
            </w:tcMar>
          </w:tcPr>
          <w:p>
            <w:r>
              <w:t xml:space="preserve">Largely replicated the curated, fixed-price model; several have faded in relevance over time</w:t>
            </w:r>
          </w:p>
        </w:tc>
        <w:tc>
          <w:tcPr>
            <w:tcW w:type="dxa" w:w="3000"/>
            <w:tcMar>
              <w:top w:type="dxa" w:w="100"/>
              <w:left w:type="dxa" w:w="120"/>
              <w:bottom w:type="dxa" w:w="100"/>
              <w:right w:type="dxa" w:w="120"/>
            </w:tcMar>
          </w:tcPr>
          <w:p>
            <w:r>
              <w:t xml:space="preserve">Confirms the underlying need is real and long-standing, but these did not pursue the informal-workforce, open-marketplace angle</w:t>
            </w:r>
          </w:p>
        </w:tc>
      </w:tr>
      <w:tr>
        <w:tc>
          <w:tcPr>
            <w:tcW w:type="dxa" w:w="2600"/>
            <w:tcMar>
              <w:top w:type="dxa" w:w="100"/>
              <w:left w:type="dxa" w:w="120"/>
              <w:bottom w:type="dxa" w:w="100"/>
              <w:right w:type="dxa" w:w="120"/>
            </w:tcMar>
          </w:tcPr>
          <w:p>
            <w:r>
              <w:t xml:space="preserve">ReadyAssist, Drive Fixit (roadside assistance apps)</w:t>
            </w:r>
          </w:p>
        </w:tc>
        <w:tc>
          <w:tcPr>
            <w:tcW w:type="dxa" w:w="3400"/>
            <w:tcMar>
              <w:top w:type="dxa" w:w="100"/>
              <w:left w:type="dxa" w:w="120"/>
              <w:bottom w:type="dxa" w:w="100"/>
              <w:right w:type="dxa" w:w="120"/>
            </w:tcMar>
          </w:tcPr>
          <w:p>
            <w:r>
              <w:t xml:space="preserve">Single-purpose roadside/breakdown assistance via a centrally managed, verified mechanic network; subscription and on-demand plans</w:t>
            </w:r>
          </w:p>
        </w:tc>
        <w:tc>
          <w:tcPr>
            <w:tcW w:type="dxa" w:w="3000"/>
            <w:tcMar>
              <w:top w:type="dxa" w:w="100"/>
              <w:left w:type="dxa" w:w="120"/>
              <w:bottom w:type="dxa" w:w="100"/>
              <w:right w:type="dxa" w:w="120"/>
            </w:tcMar>
          </w:tcPr>
          <w:p>
            <w:r>
              <w:t xml:space="preserve">FixMate combines home-repair and roadside-assistance under a single account and trust system, and uses an open marketplace of local providers rather than a closed, centrally managed fleet</w:t>
            </w:r>
          </w:p>
        </w:tc>
      </w:tr>
    </w:tbl>
    <w:p>
      <w:pPr>
        <w:pStyle w:val="Heading2"/>
        <w:spacing w:after="160" w:before="280"/>
      </w:pPr>
      <w:r>
        <w:t xml:space="preserve">7.1 The core differentiation, stated plainly</w:t>
      </w:r>
    </w:p>
    <w:p>
      <w:pPr>
        <w:pBdr>
          <w:left w:val="single" w:color="4472C4" w:sz="18" w:space="8"/>
        </w:pBdr>
        <w:spacing w:after="200" w:before="120" w:line="300"/>
        <w:ind w:left="400"/>
      </w:pPr>
      <w:r>
        <w:rPr>
          <w:i/>
          <w:iCs/>
          <w:color w:val="333333"/>
        </w:rPr>
        <w:t xml:space="preserve">Urban Company and similar platforms are premium, closed networks built for convenience-first customers. Roadside-assistance apps like ReadyAssist solve only the on-road breakdown case, through a centrally managed provider fleet. FixMate is an open, affordable marketplace covering both home repair and minor roadside assistance, built to bring India's large informal repair workforce online rather than bypass it with a closed, curated pool.</w:t>
      </w:r>
    </w:p>
    <w:p>
      <w:pPr>
        <w:pStyle w:val="Heading2"/>
        <w:spacing w:after="160" w:before="280"/>
      </w:pPr>
      <w:r>
        <w:t xml:space="preserve">7.2 Defensibility — why a larger player copying this is not fatal</w:t>
      </w:r>
    </w:p>
    <w:p>
      <w:pPr>
        <w:spacing w:after="160" w:line="300"/>
      </w:pPr>
      <w:r>
        <w:t xml:space="preserve">FixMate's defensibility is not expected to come from patent protection (see Section 10), which is largely unavailable for a business-method concept like this under Indian law. The more realistic moat is operational: locality-by-locality provider density built through direct, on-ground relationships; the accumulated transaction and dispute-evidence history described in Section 6, which a new entrant cannot replicate without its own transaction history; and the trust built with local repairers and customers over time. A larger player could copy the concept, but would still need to repeat the same slow, local, relationship-based bootstrapping process this paper describes in Section 3 — it is not a shortcut a large company's existing scale automatically grants.</w:t>
      </w:r>
    </w:p>
    <w:p>
      <w:pPr>
        <w:pStyle w:val="Heading1"/>
        <w:spacing w:after="200" w:before="360"/>
      </w:pPr>
      <w:r>
        <w:t xml:space="preserve">8. Monetization Strategy</w:t>
      </w:r>
    </w:p>
    <w:p>
      <w:pPr>
        <w:spacing w:after="160" w:line="300"/>
      </w:pPr>
      <w:r>
        <w:t xml:space="preserve">A review of how comparable platforms (Uber, Ola, Rapido) monetize shows a recent, notable industry shift worth incorporating into FixMate's own strategy. Historically, these platforms took a commission of roughly 20–40% of the fare. More recently, several have moved toward flat subscription fees instead — Uber has shifted toward drivers paying a daily or monthly subscription rather than a per-trip commission, following a model already used by Rapido and Namma Yatri (flat daily fee, provider keeps the full fare), partly driven by more favourable GST treatment of subscription/SaaS-style charges versus commission-based charges, and partly by provider dissatisfaction with high per-trip commissions.</w:t>
      </w:r>
    </w:p>
    <w:p>
      <w:pPr>
        <w:pStyle w:val="Heading2"/>
        <w:spacing w:after="160" w:before="280"/>
      </w:pPr>
      <w:r>
        <w:t xml:space="preserve">8.1 Proposed model for FixMate</w:t>
      </w:r>
    </w:p>
    <w:p>
      <w:pPr>
        <w:pStyle w:val="ListParagraph"/>
        <w:numPr>
          <w:ilvl w:val="0"/>
          <w:numId w:val="2"/>
        </w:numPr>
        <w:spacing w:after="100" w:line="300"/>
      </w:pPr>
      <w:r>
        <w:t xml:space="preserve">Early stage: a modest per-job commission (illustrative: 10–15%), charged to the provider only on completed, paid jobs — simple to explain and implement while supply is still being built.</w:t>
      </w:r>
    </w:p>
    <w:p>
      <w:pPr>
        <w:pStyle w:val="ListParagraph"/>
        <w:numPr>
          <w:ilvl w:val="0"/>
          <w:numId w:val="2"/>
        </w:numPr>
        <w:spacing w:after="100" w:line="300"/>
      </w:pPr>
      <w:r>
        <w:t xml:space="preserve">Later stage: an optional flat subscription for high-volume providers (particularly shop owners with steady job flow), offering unlimited job requests for a flat daily/monthly fee instead of a per-job cut — introduced once demand is high enough to make this attractive, following the direction the ride-hailing industry itself has moved in.</w:t>
      </w:r>
    </w:p>
    <w:p>
      <w:pPr>
        <w:pStyle w:val="ListParagraph"/>
        <w:numPr>
          <w:ilvl w:val="0"/>
          <w:numId w:val="2"/>
        </w:numPr>
        <w:spacing w:after="100" w:line="300"/>
      </w:pPr>
      <w:r>
        <w:t xml:space="preserve">A low or free “FixMate Verified” badge for non-shop providers, since charging for trust/visibility at onboarding could push new providers toward competitors instead.</w:t>
      </w:r>
    </w:p>
    <w:p>
      <w:pPr>
        <w:pStyle w:val="ListParagraph"/>
        <w:numPr>
          <w:ilvl w:val="0"/>
          <w:numId w:val="2"/>
        </w:numPr>
        <w:spacing w:after="100" w:line="300"/>
      </w:pPr>
      <w:r>
        <w:t xml:space="preserve">No platform/booking fee is charged to customers, to protect FixMate's core affordability positioning for cost-conscious households; this is a deliberate early-stage choice, revisited only if provider-side revenue proves insufficient once real transaction data exists.</w:t>
      </w:r>
    </w:p>
    <w:p>
      <w:pPr>
        <w:pStyle w:val="Heading1"/>
        <w:spacing w:after="200" w:before="360"/>
      </w:pPr>
      <w:r>
        <w:t xml:space="preserve">9. Future Roadmap</w:t>
      </w:r>
    </w:p>
    <w:p>
      <w:pPr>
        <w:pStyle w:val="ListParagraph"/>
        <w:numPr>
          <w:ilvl w:val="0"/>
          <w:numId w:val="11"/>
        </w:numPr>
        <w:spacing w:after="100" w:line="300"/>
      </w:pPr>
      <w:r>
        <w:t xml:space="preserve">Additional service categories (carpentry, painting, pest control, and similar) introduced after the initial categories are validated in the pilot locality, following the same category-by-category, density-first expansion logic used for the initial launch.</w:t>
      </w:r>
    </w:p>
    <w:p>
      <w:pPr>
        <w:pStyle w:val="ListParagraph"/>
        <w:numPr>
          <w:ilvl w:val="0"/>
          <w:numId w:val="11"/>
        </w:numPr>
        <w:spacing w:after="100" w:line="300"/>
      </w:pPr>
      <w:r>
        <w:t xml:space="preserve">In-app AI price-reference assistant for parts, once sufficient transaction data exists to build a reliable, India-specific pricing dataset — largely superseded in the near term by the self-generated provider price-list mechanism in Section 5.8, which needs no external AI system to begin working.</w:t>
      </w:r>
    </w:p>
    <w:p>
      <w:pPr>
        <w:pStyle w:val="ListParagraph"/>
        <w:numPr>
          <w:ilvl w:val="0"/>
          <w:numId w:val="11"/>
        </w:numPr>
        <w:spacing w:after="100" w:line="300"/>
      </w:pPr>
      <w:r>
        <w:t xml:space="preserve">Optional subscription plans for high-volume providers (Section 8.1).</w:t>
      </w:r>
    </w:p>
    <w:p>
      <w:pPr>
        <w:pStyle w:val="ListParagraph"/>
        <w:numPr>
          <w:ilvl w:val="0"/>
          <w:numId w:val="11"/>
        </w:numPr>
        <w:spacing w:after="100" w:line="300"/>
      </w:pPr>
      <w:r>
        <w:t xml:space="preserve">Group insurance or a provider protection fund for damage claims (Section 6.5), once scale justifies the cost of arranging it.</w:t>
      </w:r>
    </w:p>
    <w:p>
      <w:pPr>
        <w:pStyle w:val="ListParagraph"/>
        <w:numPr>
          <w:ilvl w:val="0"/>
          <w:numId w:val="11"/>
        </w:numPr>
        <w:spacing w:after="100" w:line="300"/>
      </w:pPr>
      <w:r>
        <w:t xml:space="preserve">Distribution and credibility partnerships — e.g., with housing-society platforms, RWA federations, or appliance-brand service networks — pursued after traction is demonstrated in the pilot locality, not as a substitute for it.</w:t>
      </w:r>
    </w:p>
    <w:p>
      <w:pPr>
        <w:pStyle w:val="ListParagraph"/>
        <w:numPr>
          <w:ilvl w:val="0"/>
          <w:numId w:val="11"/>
        </w:numPr>
        <w:spacing w:after="100" w:line="300"/>
      </w:pPr>
      <w:r>
        <w:t xml:space="preserve">Formal market validation survey (Section 1.3) and a full unit-economics model including acquisition and operating costs (Section 4.3), both treated as near-term priorities ahead of further product build-out.</w:t>
      </w:r>
    </w:p>
    <w:p>
      <w:pPr>
        <w:pStyle w:val="Heading1"/>
        <w:spacing w:after="200" w:before="360"/>
      </w:pPr>
      <w:r>
        <w:t xml:space="preserve">10. Intellectual Property Considerations</w:t>
      </w:r>
    </w:p>
    <w:p>
      <w:pPr>
        <w:spacing w:after="160" w:line="300"/>
      </w:pPr>
      <w:r>
        <w:t xml:space="preserve">Under Section 3(k) of the Indian Patents Act, 1970, business methods, algorithms, and standalone computer programs are excluded from patent protection. Since FixMate's core innovation — its marketplace matching logic, diagnosis-first pricing flow, and trust/dispute system — is fundamentally a business method rather than a technical invention producing a measurable technical effect, it would not be expected to qualify for a patent in India. This has been confirmed by Indian courts, which have held that implementing a business method through software does not, by itself, convert it into a patentable technical invention.</w:t>
      </w:r>
    </w:p>
    <w:p>
      <w:pPr>
        <w:spacing w:after="160" w:line="300"/>
      </w:pPr>
      <w:r>
        <w:t xml:space="preserve">Realistic IP protection for FixMate instead rests on:</w:t>
      </w:r>
    </w:p>
    <w:p>
      <w:pPr>
        <w:pStyle w:val="ListParagraph"/>
        <w:numPr>
          <w:ilvl w:val="0"/>
          <w:numId w:val="2"/>
        </w:numPr>
        <w:spacing w:after="100" w:line="300"/>
      </w:pPr>
      <w:r>
        <w:t xml:space="preserve">Copyright: automatically protects the actual app code, UI design, and written content once created; does not prevent an independent competitor from building a similar concept.</w:t>
      </w:r>
    </w:p>
    <w:p>
      <w:pPr>
        <w:pStyle w:val="ListParagraph"/>
        <w:numPr>
          <w:ilvl w:val="0"/>
          <w:numId w:val="2"/>
        </w:numPr>
        <w:spacing w:after="100" w:line="300"/>
      </w:pPr>
      <w:r>
        <w:t xml:space="preserve">Trademark: protects the “FixMate” name and logo from being used by a copycat app.</w:t>
      </w:r>
    </w:p>
    <w:p>
      <w:pPr>
        <w:pStyle w:val="ListParagraph"/>
        <w:numPr>
          <w:ilvl w:val="0"/>
          <w:numId w:val="2"/>
        </w:numPr>
        <w:spacing w:after="100" w:line="300"/>
      </w:pPr>
      <w:r>
        <w:t xml:space="preserve">Trade secret: internal pricing logic, matching algorithms, and verification processes, protected simply by not disclosing them publicly.</w:t>
      </w:r>
    </w:p>
    <w:p>
      <w:pPr>
        <w:spacing w:after="160" w:line="300"/>
      </w:pPr>
      <w:r>
        <w:t xml:space="preserve">In practice, FixMate's most defensible “moat” is expected to be execution speed, locality-by-locality network density, and the trust system built up over time (Section 7.2) — not formal IP protection. Important legal and regulatory statements in this paper should be verified with authoritative sources or professional advice before final submission or any real filing.</w:t>
      </w:r>
    </w:p>
    <w:p>
      <w:pPr>
        <w:pStyle w:val="Heading1"/>
        <w:spacing w:after="200" w:before="360"/>
      </w:pPr>
      <w:r>
        <w:t xml:space="preserve">11. Application Flow</w:t>
      </w:r>
    </w:p>
    <w:p>
      <w:pPr>
        <w:spacing w:after="160" w:line="300"/>
      </w:pPr>
      <w:r>
        <w:t xml:space="preserve">The following sequences describe the customer, provider, and admin experience end to end, incorporating every mechanism discussed in Sections 5 and 6. These have also been represented as flow diagrams for the pitch presentation.</w:t>
      </w:r>
    </w:p>
    <w:p>
      <w:pPr>
        <w:pStyle w:val="Heading2"/>
        <w:spacing w:after="160" w:before="280"/>
      </w:pPr>
      <w:r>
        <w:t xml:space="preserve">11.1 Customer flow</w:t>
      </w:r>
    </w:p>
    <w:p>
      <w:pPr>
        <w:pStyle w:val="ListParagraph"/>
        <w:numPr>
          <w:ilvl w:val="0"/>
          <w:numId w:val="12"/>
        </w:numPr>
        <w:spacing w:after="100" w:line="300"/>
      </w:pPr>
      <w:r>
        <w:t xml:space="preserve">Open app, select broad category, then item icon or search.</w:t>
      </w:r>
    </w:p>
    <w:p>
      <w:pPr>
        <w:pStyle w:val="ListParagraph"/>
        <w:numPr>
          <w:ilvl w:val="0"/>
          <w:numId w:val="12"/>
        </w:numPr>
        <w:spacing w:after="100" w:line="300"/>
      </w:pPr>
      <w:r>
        <w:t xml:space="preserve">Describe issue/symptoms (text, optional photo); choose Immediate or Scheduled request.</w:t>
      </w:r>
    </w:p>
    <w:p>
      <w:pPr>
        <w:pStyle w:val="ListParagraph"/>
        <w:numPr>
          <w:ilvl w:val="0"/>
          <w:numId w:val="12"/>
        </w:numPr>
        <w:spacing w:after="100" w:line="300"/>
      </w:pPr>
      <w:r>
        <w:t xml:space="preserve">If Scheduled: illustrative ₹100 wallet hold placed as commitment.</w:t>
      </w:r>
    </w:p>
    <w:p>
      <w:pPr>
        <w:pStyle w:val="ListParagraph"/>
        <w:numPr>
          <w:ilvl w:val="0"/>
          <w:numId w:val="12"/>
        </w:numPr>
        <w:spacing w:after="100" w:line="300"/>
      </w:pPr>
      <w:r>
        <w:t xml:space="preserve">Location confirmed; request matched to an eligible provider (Section 5.6).</w:t>
      </w:r>
    </w:p>
    <w:p>
      <w:pPr>
        <w:pStyle w:val="ListParagraph"/>
        <w:numPr>
          <w:ilvl w:val="0"/>
          <w:numId w:val="12"/>
        </w:numPr>
        <w:spacing w:after="100" w:line="300"/>
      </w:pPr>
      <w:r>
        <w:t xml:space="preserve">Provider confirms address/time/visit-type by an in-app-logged call.</w:t>
      </w:r>
    </w:p>
    <w:p>
      <w:pPr>
        <w:pStyle w:val="ListParagraph"/>
        <w:numPr>
          <w:ilvl w:val="0"/>
          <w:numId w:val="12"/>
        </w:numPr>
        <w:spacing w:after="100" w:line="300"/>
      </w:pPr>
      <w:r>
        <w:t xml:space="preserve">No-show handling per Section 5.3 if applicable.</w:t>
      </w:r>
    </w:p>
    <w:p>
      <w:pPr>
        <w:pStyle w:val="ListParagraph"/>
        <w:numPr>
          <w:ilvl w:val="0"/>
          <w:numId w:val="12"/>
        </w:numPr>
        <w:spacing w:after="100" w:line="300"/>
      </w:pPr>
      <w:r>
        <w:t xml:space="preserve">Provider arrives, diagnoses, and uploads an itemized quote; customer receives a real-time running-total notification.</w:t>
      </w:r>
    </w:p>
    <w:p>
      <w:pPr>
        <w:pStyle w:val="ListParagraph"/>
        <w:numPr>
          <w:ilvl w:val="0"/>
          <w:numId w:val="12"/>
        </w:numPr>
        <w:spacing w:after="100" w:line="300"/>
      </w:pPr>
      <w:r>
        <w:t xml:space="preserve">Customer accepts (repair proceeds) or declines (visiting fee only).</w:t>
      </w:r>
    </w:p>
    <w:p>
      <w:pPr>
        <w:pStyle w:val="ListParagraph"/>
        <w:numPr>
          <w:ilvl w:val="0"/>
          <w:numId w:val="12"/>
        </w:numPr>
        <w:spacing w:after="100" w:line="300"/>
      </w:pPr>
      <w:r>
        <w:t xml:space="preserve">Mid-repair revisions (up to three, Section 5.4) and any customer-requested add-ons (Section 5.5) are logged, quoted, and approved the same way.</w:t>
      </w:r>
    </w:p>
    <w:p>
      <w:pPr>
        <w:pStyle w:val="ListParagraph"/>
        <w:numPr>
          <w:ilvl w:val="0"/>
          <w:numId w:val="12"/>
        </w:numPr>
        <w:spacing w:after="100" w:line="300"/>
      </w:pPr>
      <w:r>
        <w:t xml:space="preserve">Job marked complete with before/after photos and an itemized final bill; payment processed in-app.</w:t>
      </w:r>
    </w:p>
    <w:p>
      <w:pPr>
        <w:pStyle w:val="ListParagraph"/>
        <w:numPr>
          <w:ilvl w:val="0"/>
          <w:numId w:val="12"/>
        </w:numPr>
        <w:spacing w:after="100" w:line="300"/>
      </w:pPr>
      <w:r>
        <w:t xml:space="preserve">Customer rates the provider, optionally leaves a Google review via a deep link (Section 6.3), and the job is saved to service history.</w:t>
      </w:r>
    </w:p>
    <w:p>
      <w:pPr>
        <w:pStyle w:val="Heading2"/>
        <w:spacing w:after="160" w:before="280"/>
      </w:pPr>
      <w:r>
        <w:t xml:space="preserve">11.2 Provider flow</w:t>
      </w:r>
    </w:p>
    <w:p>
      <w:pPr>
        <w:pStyle w:val="ListParagraph"/>
        <w:numPr>
          <w:ilvl w:val="0"/>
          <w:numId w:val="13"/>
        </w:numPr>
        <w:spacing w:after="100" w:line="300"/>
      </w:pPr>
      <w:r>
        <w:t xml:space="preserve">Register with ID proof plus shop proof, or ID proof plus reference for individuals; declare specific specialties (Section 6.2).</w:t>
      </w:r>
    </w:p>
    <w:p>
      <w:pPr>
        <w:pStyle w:val="ListParagraph"/>
        <w:numPr>
          <w:ilvl w:val="0"/>
          <w:numId w:val="13"/>
        </w:numPr>
        <w:spacing w:after="100" w:line="300"/>
      </w:pPr>
      <w:r>
        <w:t xml:space="preserve">Non-shop individuals complete short onboarding and receive a capped-visibility “FixMate Verified” badge.</w:t>
      </w:r>
    </w:p>
    <w:p>
      <w:pPr>
        <w:pStyle w:val="ListParagraph"/>
        <w:numPr>
          <w:ilvl w:val="0"/>
          <w:numId w:val="13"/>
        </w:numPr>
        <w:spacing w:after="100" w:line="300"/>
      </w:pPr>
      <w:r>
        <w:t xml:space="preserve">Set availability (including optional night hours) and service radius.</w:t>
      </w:r>
    </w:p>
    <w:p>
      <w:pPr>
        <w:pStyle w:val="ListParagraph"/>
        <w:numPr>
          <w:ilvl w:val="0"/>
          <w:numId w:val="13"/>
        </w:numPr>
        <w:spacing w:after="100" w:line="300"/>
      </w:pPr>
      <w:r>
        <w:t xml:space="preserve">Receive batched job requests matching declared specialty; respond within the window (Section 5.6).</w:t>
      </w:r>
    </w:p>
    <w:p>
      <w:pPr>
        <w:pStyle w:val="ListParagraph"/>
        <w:numPr>
          <w:ilvl w:val="0"/>
          <w:numId w:val="13"/>
        </w:numPr>
        <w:spacing w:after="100" w:line="300"/>
      </w:pPr>
      <w:r>
        <w:t xml:space="preserve">Confirm visit details with the customer; travel or receive drop-off.</w:t>
      </w:r>
    </w:p>
    <w:p>
      <w:pPr>
        <w:pStyle w:val="ListParagraph"/>
        <w:numPr>
          <w:ilvl w:val="0"/>
          <w:numId w:val="13"/>
        </w:numPr>
        <w:spacing w:after="100" w:line="300"/>
      </w:pPr>
      <w:r>
        <w:t xml:space="preserve">Diagnose and log a specific technical reason if declining, or submit a quote if proceeding.</w:t>
      </w:r>
    </w:p>
    <w:p>
      <w:pPr>
        <w:pStyle w:val="ListParagraph"/>
        <w:numPr>
          <w:ilvl w:val="0"/>
          <w:numId w:val="13"/>
        </w:numPr>
        <w:spacing w:after="100" w:line="300"/>
      </w:pPr>
      <w:r>
        <w:t xml:space="preserve">Perform repair; log parts (QR scan where available, price-list entry otherwise); log any revisions or add-ons.</w:t>
      </w:r>
    </w:p>
    <w:p>
      <w:pPr>
        <w:pStyle w:val="ListParagraph"/>
        <w:numPr>
          <w:ilvl w:val="0"/>
          <w:numId w:val="13"/>
        </w:numPr>
        <w:spacing w:after="100" w:line="300"/>
      </w:pPr>
      <w:r>
        <w:t xml:space="preserve">Mark job complete with before/after photos; receive payment (job value minus commission) and a customer rating, which affects future visibility.</w:t>
      </w:r>
    </w:p>
    <w:p>
      <w:pPr>
        <w:pStyle w:val="Heading2"/>
        <w:spacing w:after="160" w:before="280"/>
      </w:pPr>
      <w:r>
        <w:t xml:space="preserve">11.3 Admin / FixMate operations flow</w:t>
      </w:r>
    </w:p>
    <w:p>
      <w:pPr>
        <w:pStyle w:val="ListParagraph"/>
        <w:numPr>
          <w:ilvl w:val="0"/>
          <w:numId w:val="14"/>
        </w:numPr>
        <w:spacing w:after="100" w:line="300"/>
      </w:pPr>
      <w:r>
        <w:t xml:space="preserve">Review the provider verification queue (ID, shop proof, references).</w:t>
      </w:r>
    </w:p>
    <w:p>
      <w:pPr>
        <w:pStyle w:val="ListParagraph"/>
        <w:numPr>
          <w:ilvl w:val="0"/>
          <w:numId w:val="14"/>
        </w:numPr>
        <w:spacing w:after="100" w:line="300"/>
      </w:pPr>
      <w:r>
        <w:t xml:space="preserve">Monitor the coverage-gap map (requests vs. available providers) and direct on-ground onboarding effort accordingly (Section 3.3).</w:t>
      </w:r>
    </w:p>
    <w:p>
      <w:pPr>
        <w:pStyle w:val="ListParagraph"/>
        <w:numPr>
          <w:ilvl w:val="0"/>
          <w:numId w:val="14"/>
        </w:numPr>
        <w:spacing w:after="100" w:line="300"/>
      </w:pPr>
      <w:r>
        <w:t xml:space="preserve">Monitor active jobs for anomalies (excessive revisions, repeated cancellations).</w:t>
      </w:r>
    </w:p>
    <w:p>
      <w:pPr>
        <w:pStyle w:val="ListParagraph"/>
        <w:numPr>
          <w:ilvl w:val="0"/>
          <w:numId w:val="14"/>
        </w:numPr>
        <w:spacing w:after="100" w:line="300"/>
      </w:pPr>
      <w:r>
        <w:t xml:space="preserve">On a complaint: pull the job record, diagnosis logs, and any second-provider evidence; compare for contradictions per Section 6.4; reach an outcome (no issue found / provider issue / customer issue / partial responsibility); take account action where warranted; retain the record.</w:t>
      </w:r>
    </w:p>
    <w:p>
      <w:pPr>
        <w:pStyle w:val="Heading1"/>
        <w:spacing w:after="200" w:before="360"/>
      </w:pPr>
      <w:r>
        <w:t xml:space="preserve">12. Summary: What to Present to the Judges</w:t>
      </w:r>
    </w:p>
    <w:p>
      <w:pPr>
        <w:pStyle w:val="Heading2"/>
        <w:spacing w:after="160" w:before="280"/>
      </w:pPr>
      <w:r>
        <w:t xml:space="preserve">12.1 The problem, in one line</w:t>
      </w:r>
    </w:p>
    <w:p>
      <w:pPr>
        <w:pBdr>
          <w:left w:val="single" w:color="4472C4" w:sz="18" w:space="8"/>
        </w:pBdr>
        <w:spacing w:after="200" w:before="120" w:line="300"/>
        <w:ind w:left="400"/>
      </w:pPr>
      <w:r>
        <w:rPr>
          <w:i/>
          <w:iCs/>
          <w:color w:val="333333"/>
        </w:rPr>
        <w:t xml:space="preserve">India's middle-class households and everyday commuters have no fast, trustworthy, affordable way to get things repaired — whether a broken appliance at home or a vehicle stuck on the road — because the local repair workforce that could solve this is skilled but undiscoverable, and existing apps either serve a premium segment or solve only one narrow piece of the problem.</w:t>
      </w:r>
    </w:p>
    <w:p>
      <w:pPr>
        <w:pStyle w:val="Heading2"/>
        <w:spacing w:after="160" w:before="280"/>
      </w:pPr>
      <w:r>
        <w:t xml:space="preserve">12.2 The solution, in one line</w:t>
      </w:r>
    </w:p>
    <w:p>
      <w:pPr>
        <w:pBdr>
          <w:left w:val="single" w:color="4472C4" w:sz="18" w:space="8"/>
        </w:pBdr>
        <w:spacing w:after="200" w:before="120" w:line="300"/>
        <w:ind w:left="400"/>
      </w:pPr>
      <w:r>
        <w:rPr>
          <w:i/>
          <w:iCs/>
          <w:color w:val="333333"/>
        </w:rPr>
        <w:t xml:space="preserve">FixMate is an open, hyperlocal, Rapido-style marketplace that connects customers to nearby verified local repairers and mechanics on demand, with a diagnosis-first, transparent, capped-revision pricing flow that protects both sides — launched locality-by-locality to solve the cold-start problem, and extended to minor roadside assistance, a use case most home-services platforms do not address.</w:t>
      </w:r>
    </w:p>
    <w:p>
      <w:pPr>
        <w:pStyle w:val="Heading2"/>
        <w:spacing w:after="160" w:before="280"/>
      </w:pPr>
      <w:r>
        <w:t xml:space="preserve">12.3 Anticipated judge questions and where they are addressed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4472C4" w:color="auto" w:val="clear"/>
            <w:tcMar>
              <w:top w:type="dxa" w:w="100"/>
              <w:left w:type="dxa" w:w="120"/>
              <w:bottom w:type="dxa" w:w="100"/>
              <w:right w:type="dxa" w:w="120"/>
            </w:tcMar>
          </w:tcPr>
          <w:p>
            <w:r>
              <w:rPr>
                <w:b/>
                <w:bCs/>
                <w:color w:val="FFFFFF"/>
              </w:rPr>
              <w:t xml:space="preserve">Likely question</w:t>
            </w:r>
          </w:p>
        </w:tc>
        <w:tc>
          <w:tcPr>
            <w:tcW w:type="dxa" w:w="3400"/>
            <w:shd w:fill="4472C4" w:color="auto" w:val="clear"/>
            <w:tcMar>
              <w:top w:type="dxa" w:w="100"/>
              <w:left w:type="dxa" w:w="120"/>
              <w:bottom w:type="dxa" w:w="100"/>
              <w:right w:type="dxa" w:w="120"/>
            </w:tcMar>
          </w:tcPr>
          <w:p>
            <w:r>
              <w:rPr>
                <w:b/>
                <w:bCs/>
                <w:color w:val="FFFFFF"/>
              </w:rPr>
              <w:t xml:space="preserve">Addressed in</w:t>
            </w:r>
          </w:p>
        </w:tc>
      </w:tr>
      <w:tr>
        <w:tc>
          <w:tcPr>
            <w:tcW w:type="dxa" w:w="5600"/>
            <w:tcMar>
              <w:top w:type="dxa" w:w="100"/>
              <w:left w:type="dxa" w:w="120"/>
              <w:bottom w:type="dxa" w:w="100"/>
              <w:right w:type="dxa" w:w="120"/>
            </w:tcMar>
          </w:tcPr>
          <w:p>
            <w:r>
              <w:t xml:space="preserve">How do you solve the chicken-and-egg problem?</w:t>
            </w:r>
          </w:p>
        </w:tc>
        <w:tc>
          <w:tcPr>
            <w:tcW w:type="dxa" w:w="3400"/>
            <w:tcMar>
              <w:top w:type="dxa" w:w="100"/>
              <w:left w:type="dxa" w:w="120"/>
              <w:bottom w:type="dxa" w:w="100"/>
              <w:right w:type="dxa" w:w="120"/>
            </w:tcMar>
          </w:tcPr>
          <w:p>
            <w:r>
              <w:t xml:space="preserve">Section 3</w:t>
            </w:r>
          </w:p>
        </w:tc>
      </w:tr>
      <w:tr>
        <w:tc>
          <w:tcPr>
            <w:tcW w:type="dxa" w:w="5600"/>
            <w:tcMar>
              <w:top w:type="dxa" w:w="100"/>
              <w:left w:type="dxa" w:w="120"/>
              <w:bottom w:type="dxa" w:w="100"/>
              <w:right w:type="dxa" w:w="120"/>
            </w:tcMar>
          </w:tcPr>
          <w:p>
            <w:r>
              <w:t xml:space="preserve">What is your market size and unit economics?</w:t>
            </w:r>
          </w:p>
        </w:tc>
        <w:tc>
          <w:tcPr>
            <w:tcW w:type="dxa" w:w="3400"/>
            <w:tcMar>
              <w:top w:type="dxa" w:w="100"/>
              <w:left w:type="dxa" w:w="120"/>
              <w:bottom w:type="dxa" w:w="100"/>
              <w:right w:type="dxa" w:w="120"/>
            </w:tcMar>
          </w:tcPr>
          <w:p>
            <w:r>
              <w:t xml:space="preserve">Section 4</w:t>
            </w:r>
          </w:p>
        </w:tc>
      </w:tr>
      <w:tr>
        <w:tc>
          <w:tcPr>
            <w:tcW w:type="dxa" w:w="5600"/>
            <w:tcMar>
              <w:top w:type="dxa" w:w="100"/>
              <w:left w:type="dxa" w:w="120"/>
              <w:bottom w:type="dxa" w:w="100"/>
              <w:right w:type="dxa" w:w="120"/>
            </w:tcMar>
          </w:tcPr>
          <w:p>
            <w:r>
              <w:t xml:space="preserve">How do you prevent fraud / ensure trust?</w:t>
            </w:r>
          </w:p>
        </w:tc>
        <w:tc>
          <w:tcPr>
            <w:tcW w:type="dxa" w:w="3400"/>
            <w:tcMar>
              <w:top w:type="dxa" w:w="100"/>
              <w:left w:type="dxa" w:w="120"/>
              <w:bottom w:type="dxa" w:w="100"/>
              <w:right w:type="dxa" w:w="120"/>
            </w:tcMar>
          </w:tcPr>
          <w:p>
            <w:r>
              <w:t xml:space="preserve">Section 6</w:t>
            </w:r>
          </w:p>
        </w:tc>
      </w:tr>
      <w:tr>
        <w:tc>
          <w:tcPr>
            <w:tcW w:type="dxa" w:w="5600"/>
            <w:tcMar>
              <w:top w:type="dxa" w:w="100"/>
              <w:left w:type="dxa" w:w="120"/>
              <w:bottom w:type="dxa" w:w="100"/>
              <w:right w:type="dxa" w:w="120"/>
            </w:tcMar>
          </w:tcPr>
          <w:p>
            <w:r>
              <w:t xml:space="preserve">How is pricing kept fair, and what if it changes mid-job?</w:t>
            </w:r>
          </w:p>
        </w:tc>
        <w:tc>
          <w:tcPr>
            <w:tcW w:type="dxa" w:w="3400"/>
            <w:tcMar>
              <w:top w:type="dxa" w:w="100"/>
              <w:left w:type="dxa" w:w="120"/>
              <w:bottom w:type="dxa" w:w="100"/>
              <w:right w:type="dxa" w:w="120"/>
            </w:tcMar>
          </w:tcPr>
          <w:p>
            <w:r>
              <w:t xml:space="preserve">Section 5.4, 5.5</w:t>
            </w:r>
          </w:p>
        </w:tc>
      </w:tr>
      <w:tr>
        <w:tc>
          <w:tcPr>
            <w:tcW w:type="dxa" w:w="5600"/>
            <w:tcMar>
              <w:top w:type="dxa" w:w="100"/>
              <w:left w:type="dxa" w:w="120"/>
              <w:bottom w:type="dxa" w:w="100"/>
              <w:right w:type="dxa" w:w="120"/>
            </w:tcMar>
          </w:tcPr>
          <w:p>
            <w:r>
              <w:t xml:space="preserve">What about cancellations and no-shows?</w:t>
            </w:r>
          </w:p>
        </w:tc>
        <w:tc>
          <w:tcPr>
            <w:tcW w:type="dxa" w:w="3400"/>
            <w:tcMar>
              <w:top w:type="dxa" w:w="100"/>
              <w:left w:type="dxa" w:w="120"/>
              <w:bottom w:type="dxa" w:w="100"/>
              <w:right w:type="dxa" w:w="120"/>
            </w:tcMar>
          </w:tcPr>
          <w:p>
            <w:r>
              <w:t xml:space="preserve">Section 5.3</w:t>
            </w:r>
          </w:p>
        </w:tc>
      </w:tr>
      <w:tr>
        <w:tc>
          <w:tcPr>
            <w:tcW w:type="dxa" w:w="5600"/>
            <w:tcMar>
              <w:top w:type="dxa" w:w="100"/>
              <w:left w:type="dxa" w:w="120"/>
              <w:bottom w:type="dxa" w:w="100"/>
              <w:right w:type="dxa" w:w="120"/>
            </w:tcMar>
          </w:tcPr>
          <w:p>
            <w:r>
              <w:t xml:space="preserve">What if a provider damages something?</w:t>
            </w:r>
          </w:p>
        </w:tc>
        <w:tc>
          <w:tcPr>
            <w:tcW w:type="dxa" w:w="3400"/>
            <w:tcMar>
              <w:top w:type="dxa" w:w="100"/>
              <w:left w:type="dxa" w:w="120"/>
              <w:bottom w:type="dxa" w:w="100"/>
              <w:right w:type="dxa" w:w="120"/>
            </w:tcMar>
          </w:tcPr>
          <w:p>
            <w:r>
              <w:t xml:space="preserve">Section 6.5</w:t>
            </w:r>
          </w:p>
        </w:tc>
      </w:tr>
      <w:tr>
        <w:tc>
          <w:tcPr>
            <w:tcW w:type="dxa" w:w="5600"/>
            <w:tcMar>
              <w:top w:type="dxa" w:w="100"/>
              <w:left w:type="dxa" w:w="120"/>
              <w:bottom w:type="dxa" w:w="100"/>
              <w:right w:type="dxa" w:w="120"/>
            </w:tcMar>
          </w:tcPr>
          <w:p>
            <w:r>
              <w:t xml:space="preserve">What stops customers going off-platform after the first job?</w:t>
            </w:r>
          </w:p>
        </w:tc>
        <w:tc>
          <w:tcPr>
            <w:tcW w:type="dxa" w:w="3400"/>
            <w:tcMar>
              <w:top w:type="dxa" w:w="100"/>
              <w:left w:type="dxa" w:w="120"/>
              <w:bottom w:type="dxa" w:w="100"/>
              <w:right w:type="dxa" w:w="120"/>
            </w:tcMar>
          </w:tcPr>
          <w:p>
            <w:r>
              <w:t xml:space="preserve">Section 6.6</w:t>
            </w:r>
          </w:p>
        </w:tc>
      </w:tr>
      <w:tr>
        <w:tc>
          <w:tcPr>
            <w:tcW w:type="dxa" w:w="5600"/>
            <w:tcMar>
              <w:top w:type="dxa" w:w="100"/>
              <w:left w:type="dxa" w:w="120"/>
              <w:bottom w:type="dxa" w:w="100"/>
              <w:right w:type="dxa" w:w="120"/>
            </w:tcMar>
          </w:tcPr>
          <w:p>
            <w:r>
              <w:t xml:space="preserve">How does matching actually work?</w:t>
            </w:r>
          </w:p>
        </w:tc>
        <w:tc>
          <w:tcPr>
            <w:tcW w:type="dxa" w:w="3400"/>
            <w:tcMar>
              <w:top w:type="dxa" w:w="100"/>
              <w:left w:type="dxa" w:w="120"/>
              <w:bottom w:type="dxa" w:w="100"/>
              <w:right w:type="dxa" w:w="120"/>
            </w:tcMar>
          </w:tcPr>
          <w:p>
            <w:r>
              <w:t xml:space="preserve">Section 5.6</w:t>
            </w:r>
          </w:p>
        </w:tc>
      </w:tr>
      <w:tr>
        <w:tc>
          <w:tcPr>
            <w:tcW w:type="dxa" w:w="5600"/>
            <w:tcMar>
              <w:top w:type="dxa" w:w="100"/>
              <w:left w:type="dxa" w:w="120"/>
              <w:bottom w:type="dxa" w:w="100"/>
              <w:right w:type="dxa" w:w="120"/>
            </w:tcMar>
          </w:tcPr>
          <w:p>
            <w:r>
              <w:t xml:space="preserve">What happens if no provider is available?</w:t>
            </w:r>
          </w:p>
        </w:tc>
        <w:tc>
          <w:tcPr>
            <w:tcW w:type="dxa" w:w="3400"/>
            <w:tcMar>
              <w:top w:type="dxa" w:w="100"/>
              <w:left w:type="dxa" w:w="120"/>
              <w:bottom w:type="dxa" w:w="100"/>
              <w:right w:type="dxa" w:w="120"/>
            </w:tcMar>
          </w:tcPr>
          <w:p>
            <w:r>
              <w:t xml:space="preserve">Section 5.7</w:t>
            </w:r>
          </w:p>
        </w:tc>
      </w:tr>
      <w:tr>
        <w:tc>
          <w:tcPr>
            <w:tcW w:type="dxa" w:w="5600"/>
            <w:tcMar>
              <w:top w:type="dxa" w:w="100"/>
              <w:left w:type="dxa" w:w="120"/>
              <w:bottom w:type="dxa" w:w="100"/>
              <w:right w:type="dxa" w:w="120"/>
            </w:tcMar>
          </w:tcPr>
          <w:p>
            <w:r>
              <w:t xml:space="preserve">How is this different from Urban Company / ReadyAssist, and why can't they just copy it?</w:t>
            </w:r>
          </w:p>
        </w:tc>
        <w:tc>
          <w:tcPr>
            <w:tcW w:type="dxa" w:w="3400"/>
            <w:tcMar>
              <w:top w:type="dxa" w:w="100"/>
              <w:left w:type="dxa" w:w="120"/>
              <w:bottom w:type="dxa" w:w="100"/>
              <w:right w:type="dxa" w:w="120"/>
            </w:tcMar>
          </w:tcPr>
          <w:p>
            <w:r>
              <w:t xml:space="preserve">Section 7</w:t>
            </w:r>
          </w:p>
        </w:tc>
      </w:tr>
      <w:tr>
        <w:tc>
          <w:tcPr>
            <w:tcW w:type="dxa" w:w="5600"/>
            <w:tcMar>
              <w:top w:type="dxa" w:w="100"/>
              <w:left w:type="dxa" w:w="120"/>
              <w:bottom w:type="dxa" w:w="100"/>
              <w:right w:type="dxa" w:w="120"/>
            </w:tcMar>
          </w:tcPr>
          <w:p>
            <w:r>
              <w:t xml:space="preserve">How does FixMate make money, and when does it scale?</w:t>
            </w:r>
          </w:p>
        </w:tc>
        <w:tc>
          <w:tcPr>
            <w:tcW w:type="dxa" w:w="3400"/>
            <w:tcMar>
              <w:top w:type="dxa" w:w="100"/>
              <w:left w:type="dxa" w:w="120"/>
              <w:bottom w:type="dxa" w:w="100"/>
              <w:right w:type="dxa" w:w="120"/>
            </w:tcMar>
          </w:tcPr>
          <w:p>
            <w:r>
              <w:t xml:space="preserve">Section 8, Section 3.4</w:t>
            </w:r>
          </w:p>
        </w:tc>
      </w:tr>
      <w:tr>
        <w:tc>
          <w:tcPr>
            <w:tcW w:type="dxa" w:w="5600"/>
            <w:tcMar>
              <w:top w:type="dxa" w:w="100"/>
              <w:left w:type="dxa" w:w="120"/>
              <w:bottom w:type="dxa" w:w="100"/>
              <w:right w:type="dxa" w:w="120"/>
            </w:tcMar>
          </w:tcPr>
          <w:p>
            <w:r>
              <w:t xml:space="preserve">Can this be patented?</w:t>
            </w:r>
          </w:p>
        </w:tc>
        <w:tc>
          <w:tcPr>
            <w:tcW w:type="dxa" w:w="3400"/>
            <w:tcMar>
              <w:top w:type="dxa" w:w="100"/>
              <w:left w:type="dxa" w:w="120"/>
              <w:bottom w:type="dxa" w:w="100"/>
              <w:right w:type="dxa" w:w="120"/>
            </w:tcMar>
          </w:tcPr>
          <w:p>
            <w:r>
              <w:t xml:space="preserve">Section 10</w:t>
            </w:r>
          </w:p>
        </w:tc>
      </w:tr>
      <w:tr>
        <w:tc>
          <w:tcPr>
            <w:tcW w:type="dxa" w:w="5600"/>
            <w:tcMar>
              <w:top w:type="dxa" w:w="100"/>
              <w:left w:type="dxa" w:w="120"/>
              <w:bottom w:type="dxa" w:w="100"/>
              <w:right w:type="dxa" w:w="120"/>
            </w:tcMar>
          </w:tcPr>
          <w:p>
            <w:r>
              <w:t xml:space="preserve">Do you have real evidence this problem exists?</w:t>
            </w:r>
          </w:p>
        </w:tc>
        <w:tc>
          <w:tcPr>
            <w:tcW w:type="dxa" w:w="3400"/>
            <w:tcMar>
              <w:top w:type="dxa" w:w="100"/>
              <w:left w:type="dxa" w:w="120"/>
              <w:bottom w:type="dxa" w:w="100"/>
              <w:right w:type="dxa" w:w="120"/>
            </w:tcMar>
          </w:tcPr>
          <w:p>
            <w:r>
              <w:t xml:space="preserve">Section 1.3</w:t>
            </w:r>
          </w:p>
        </w:tc>
      </w:tr>
    </w:tbl>
    <w:p>
      <w:pPr>
        <w:spacing w:after="160" w:line="300"/>
      </w:pPr>
      <w:r>
        <w:t xml:space="preserve">Two open items are intentionally left for the team to complete before final submission rather than filled with invented content: the exact first pilot city/locality (Section 3, once decided) and a full validation survey (Section 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2026-09-26T07:12:31.004Z</dcterms:created>
  <dcterms:modified xsi:type="dcterms:W3CDTF">2026-09-26T07:12:31.004Z</dcterms:modified>
</cp:coreProperties>
</file>

<file path=docProps/custom.xml><?xml version="1.0" encoding="utf-8"?>
<Properties xmlns="http://schemas.openxmlformats.org/officeDocument/2006/custom-properties" xmlns:vt="http://schemas.openxmlformats.org/officeDocument/2006/docPropsVTypes"/>
</file>