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B3A5C"/>
          <w:sz w:val="52"/>
          <w:szCs w:val="52"/>
        </w:rPr>
        <w:t xml:space="preserve">IoT-GCP-Cassandra</w:t>
      </w:r>
    </w:p>
    <w:p>
      <w:pPr>
        <w:spacing w:after="200" w:before="0"/>
        <w:jc w:val="center"/>
      </w:pPr>
      <w:r>
        <w:rPr>
          <w:rFonts w:ascii="Arial" w:cs="Arial" w:eastAsia="Arial" w:hAnsi="Arial"/>
          <w:b/>
          <w:bCs/>
          <w:color w:val="1B3A5C"/>
          <w:sz w:val="52"/>
          <w:szCs w:val="52"/>
        </w:rPr>
        <w:t xml:space="preserve">Telemetry Pipeline</w:t>
      </w:r>
    </w:p>
    <w:p>
      <w:pPr>
        <w:spacing w:after="300" w:before="0"/>
        <w:jc w:val="center"/>
      </w:pPr>
      <w:r>
        <w:rPr>
          <w:rFonts w:ascii="Arial" w:cs="Arial" w:eastAsia="Arial" w:hAnsi="Arial"/>
          <w:color w:val="2563EB"/>
          <w:sz w:val="34"/>
          <w:szCs w:val="34"/>
        </w:rPr>
        <w:t xml:space="preserve">Complete Project Recap</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D1D5DB" w:sz="1"/>
              <w:left w:val="single" w:color="D1D5DB" w:sz="1"/>
              <w:bottom w:val="single" w:color="D1D5DB" w:sz="1"/>
              <w:right w:val="single" w:color="D1D5DB" w:sz="1"/>
            </w:tcBorders>
            <w:shd w:fill="DCFCE7" w:val="clear"/>
            <w:tcMar>
              <w:top w:type="dxa" w:w="100"/>
              <w:left w:type="dxa" w:w="160"/>
              <w:bottom w:type="dxa" w:w="100"/>
              <w:right w:type="dxa" w:w="160"/>
            </w:tcMar>
          </w:tcPr>
          <w:p>
            <w:pPr>
              <w:jc w:val="center"/>
            </w:pPr>
            <w:r>
              <w:rPr>
                <w:rFonts w:ascii="Arial" w:cs="Arial" w:eastAsia="Arial" w:hAnsi="Arial"/>
                <w:b/>
                <w:bCs/>
                <w:color w:val="16A34A"/>
                <w:sz w:val="20"/>
                <w:szCs w:val="20"/>
              </w:rPr>
              <w:t xml:space="preserve">Pipeline Status: LIVE</w:t>
            </w:r>
          </w:p>
        </w:tc>
        <w:tc>
          <w:tcPr>
            <w:tcW w:type="dxa" w:w="250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60"/>
            </w:tcMar>
          </w:tcPr>
          <w:p>
            <w:pPr>
              <w:jc w:val="center"/>
            </w:pPr>
            <w:r>
              <w:rPr>
                <w:rFonts w:ascii="Arial" w:cs="Arial" w:eastAsia="Arial" w:hAnsi="Arial"/>
                <w:b/>
                <w:bCs/>
                <w:color w:val="2563EB"/>
                <w:sz w:val="20"/>
                <w:szCs w:val="20"/>
              </w:rPr>
              <w:t xml:space="preserve">Fan-Out Architecture</w:t>
            </w:r>
          </w:p>
        </w:tc>
      </w:tr>
    </w:tbl>
    <w:p>
      <w:pPr>
        <w:spacing w:after="0" w:before="300"/>
        <w:jc w:val="center"/>
      </w:pPr>
      <w:r>
        <w:rPr>
          <w:rFonts w:ascii="Arial" w:cs="Arial" w:eastAsia="Arial" w:hAnsi="Arial"/>
          <w:i/>
          <w:iCs/>
          <w:color w:val="6B7280"/>
          <w:sz w:val="22"/>
          <w:szCs w:val="22"/>
        </w:rPr>
        <w:t xml:space="preserve">End-to-End Functional  |  April 2026</w:t>
      </w:r>
    </w:p>
    <w:p>
      <w:r>
        <w:br w:type="page"/>
      </w:r>
    </w:p>
    <w:p>
      <w:pPr>
        <w:pStyle w:val="Heading1"/>
        <w:pBdr>
          <w:bottom w:val="single" w:color="2563EB" w:sz="6" w:space="6"/>
        </w:pBdr>
        <w:spacing w:after="160" w:before="400"/>
      </w:pPr>
      <w:r>
        <w:rPr>
          <w:rFonts w:ascii="Arial" w:cs="Arial" w:eastAsia="Arial" w:hAnsi="Arial"/>
          <w:b/>
          <w:bCs/>
          <w:color w:val="1B3A5C"/>
          <w:sz w:val="32"/>
          <w:szCs w:val="32"/>
        </w:rPr>
        <w:t xml:space="preserve">1.  Introduction</w:t>
      </w:r>
    </w:p>
    <w:p>
      <w:pPr>
        <w:spacing w:after="100" w:before="80"/>
      </w:pPr>
      <w:r>
        <w:rPr>
          <w:rFonts w:ascii="Arial" w:cs="Arial" w:eastAsia="Arial" w:hAnsi="Arial"/>
          <w:color w:val="111827"/>
          <w:sz w:val="22"/>
          <w:szCs w:val="22"/>
        </w:rPr>
        <w:t xml:space="preserve">This document is a complete technical record of the IoT-GCP-Cassandra telemetry pipeline — a production-grade, cloud-native system built from the ground up. It captures every component we designed, every obstacle we encountered, and precisely how each obstacle was overcome.</w:t>
      </w:r>
    </w:p>
    <w:p>
      <w:pPr>
        <w:spacing w:after="0" w:before="80"/>
      </w:pPr>
    </w:p>
    <w:p>
      <w:pPr>
        <w:spacing w:after="100" w:before="80"/>
      </w:pPr>
      <w:r>
        <w:rPr>
          <w:rFonts w:ascii="Arial" w:cs="Arial" w:eastAsia="Arial" w:hAnsi="Arial"/>
          <w:color w:val="111827"/>
          <w:sz w:val="22"/>
          <w:szCs w:val="22"/>
        </w:rPr>
        <w:t xml:space="preserve">Think of it as the 'black box flight recorder' for our project — a single source of truth you can hand to any new developer and they will know exactly how the system works, why decisions were made, and what to watch out for.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40"/>
              <w:left w:type="dxa" w:w="200"/>
              <w:bottom w:type="dxa" w:w="140"/>
              <w:right w:type="dxa" w:w="200"/>
            </w:tcMar>
          </w:tcPr>
          <w:p>
            <w:pPr>
              <w:spacing w:after="80" w:before="60"/>
            </w:pPr>
            <w:r>
              <w:rPr>
                <w:rFonts w:ascii="Arial" w:cs="Arial" w:eastAsia="Arial" w:hAnsi="Arial"/>
                <w:b/>
                <w:bCs/>
                <w:color w:val="2563EB"/>
                <w:sz w:val="22"/>
                <w:szCs w:val="22"/>
              </w:rPr>
              <w:t xml:space="preserve">What this document covers</w:t>
            </w:r>
          </w:p>
          <w:p>
            <w:pPr>
              <w:spacing w:after="40" w:before="40"/>
            </w:pPr>
            <w:r>
              <w:rPr>
                <w:rFonts w:ascii="Arial" w:cs="Arial" w:eastAsia="Arial" w:hAnsi="Arial"/>
                <w:color w:val="111827"/>
                <w:sz w:val="20"/>
                <w:szCs w:val="20"/>
              </w:rPr>
              <w:t xml:space="preserve">• The full system architecture and the role of each component</w:t>
            </w:r>
          </w:p>
          <w:p>
            <w:pPr>
              <w:spacing w:after="40" w:before="40"/>
            </w:pPr>
            <w:r>
              <w:rPr>
                <w:rFonts w:ascii="Arial" w:cs="Arial" w:eastAsia="Arial" w:hAnsi="Arial"/>
                <w:color w:val="111827"/>
                <w:sz w:val="20"/>
                <w:szCs w:val="20"/>
              </w:rPr>
              <w:t xml:space="preserve">• Real-world analogies to make every concept immediately intuitive</w:t>
            </w:r>
          </w:p>
          <w:p>
            <w:pPr>
              <w:spacing w:after="40" w:before="40"/>
            </w:pPr>
            <w:r>
              <w:rPr>
                <w:rFonts w:ascii="Arial" w:cs="Arial" w:eastAsia="Arial" w:hAnsi="Arial"/>
                <w:color w:val="111827"/>
                <w:sz w:val="20"/>
                <w:szCs w:val="20"/>
              </w:rPr>
              <w:t xml:space="preserve">• A detailed troubleshooting log of every bug, misconfiguration, and permission error — and how each was fixed</w:t>
            </w:r>
          </w:p>
          <w:p>
            <w:pPr>
              <w:spacing w:after="40" w:before="40"/>
            </w:pPr>
            <w:r>
              <w:rPr>
                <w:rFonts w:ascii="Arial" w:cs="Arial" w:eastAsia="Arial" w:hAnsi="Arial"/>
                <w:color w:val="111827"/>
                <w:sz w:val="20"/>
                <w:szCs w:val="20"/>
              </w:rPr>
              <w:t xml:space="preserve">• Lessons learned and the 'why' behind each design decision</w:t>
            </w:r>
          </w:p>
        </w:tc>
      </w:tr>
    </w:tbl>
    <w:p>
      <w:pPr>
        <w:spacing w:after="0" w:before="200"/>
      </w:pPr>
    </w:p>
    <w:p>
      <w:pPr>
        <w:pStyle w:val="Heading1"/>
        <w:pBdr>
          <w:bottom w:val="single" w:color="2563EB" w:sz="6" w:space="6"/>
        </w:pBdr>
        <w:spacing w:after="160" w:before="400"/>
      </w:pPr>
      <w:r>
        <w:rPr>
          <w:rFonts w:ascii="Arial" w:cs="Arial" w:eastAsia="Arial" w:hAnsi="Arial"/>
          <w:b/>
          <w:bCs/>
          <w:color w:val="1B3A5C"/>
          <w:sz w:val="32"/>
          <w:szCs w:val="32"/>
        </w:rPr>
        <w:t xml:space="preserve">2.  System Architecture — The Big Picture</w:t>
      </w:r>
    </w:p>
    <w:p>
      <w:pPr>
        <w:spacing w:after="100" w:before="80"/>
      </w:pPr>
      <w:r>
        <w:rPr>
          <w:rFonts w:ascii="Arial" w:cs="Arial" w:eastAsia="Arial" w:hAnsi="Arial"/>
          <w:color w:val="111827"/>
          <w:sz w:val="22"/>
          <w:szCs w:val="22"/>
        </w:rPr>
        <w:t xml:space="preserve">Before diving into individual components, it helps to understand the overall data flow. The system follows a Fan-Out Architecture, which means a single message (a sensor reading) is delivered to multiple destinations simultaneously.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CCFBF1" w:val="clear"/>
            <w:tcMar>
              <w:top w:type="dxa" w:w="140"/>
              <w:left w:type="dxa" w:w="200"/>
              <w:bottom w:type="dxa" w:w="140"/>
              <w:right w:type="dxa" w:w="200"/>
            </w:tcMar>
          </w:tcPr>
          <w:p>
            <w:pPr>
              <w:spacing w:after="80" w:before="60"/>
            </w:pPr>
            <w:r>
              <w:rPr>
                <w:rFonts w:ascii="Arial" w:cs="Arial" w:eastAsia="Arial" w:hAnsi="Arial"/>
                <w:b/>
                <w:bCs/>
                <w:color w:val="0F766E"/>
                <w:sz w:val="22"/>
                <w:szCs w:val="22"/>
              </w:rPr>
              <w:t xml:space="preserve">Real-World Analogy: The Post Office Hub</w:t>
            </w:r>
          </w:p>
          <w:p>
            <w:pPr>
              <w:spacing w:after="40" w:before="40"/>
            </w:pPr>
            <w:r>
              <w:rPr>
                <w:rFonts w:ascii="Arial" w:cs="Arial" w:eastAsia="Arial" w:hAnsi="Arial"/>
                <w:color w:val="111827"/>
                <w:sz w:val="20"/>
                <w:szCs w:val="20"/>
              </w:rPr>
              <w:t xml:space="preserve">Imagine a busy postal sorting hub. Thousands of parcels (sensor readings) arrive every second from factories all over the country. The hub does not deliver each parcel itself — instead it stamps and sorts them, then hands them to three separate delivery vans: one for Cassandra (same-day local delivery), one for BigQuery (overnight archive), and one for the Cloud Function (express alert courier). Each van works independently, so if one is delayed, the others keep running.</w:t>
            </w:r>
          </w:p>
        </w:tc>
      </w:tr>
    </w:tbl>
    <w:p>
      <w:pPr>
        <w:spacing w:after="0" w:before="120"/>
      </w:pPr>
    </w:p>
    <w:p>
      <w:pPr>
        <w:spacing w:after="100" w:before="80"/>
      </w:pPr>
      <w:r>
        <w:rPr>
          <w:rFonts w:ascii="Arial" w:cs="Arial" w:eastAsia="Arial" w:hAnsi="Arial"/>
          <w:b/>
          <w:bCs/>
          <w:color w:val="111827"/>
          <w:sz w:val="22"/>
          <w:szCs w:val="22"/>
        </w:rPr>
        <w:t xml:space="preserve">The full data journey, step by step:</w:t>
      </w:r>
    </w:p>
    <w:p>
      <w:pPr>
        <w:spacing w:after="0" w:before="60"/>
      </w:pPr>
    </w:p>
    <w:p>
      <w:pPr>
        <w:pStyle w:val="ListParagraph"/>
        <w:numPr>
          <w:ilvl w:val="0"/>
          <w:numId w:val="2"/>
        </w:numPr>
        <w:spacing w:after="60" w:before="60"/>
      </w:pPr>
      <w:r>
        <w:rPr>
          <w:rFonts w:ascii="Arial" w:cs="Arial" w:eastAsia="Arial" w:hAnsi="Arial"/>
          <w:color w:val="111827"/>
          <w:sz w:val="22"/>
          <w:szCs w:val="22"/>
        </w:rPr>
        <w:t xml:space="preserve">Sensors (simulated by Python/Docker) generate JSON telemetry bursts — temperature, humidity, device ID, timestamp.</w:t>
      </w:r>
    </w:p>
    <w:p>
      <w:pPr>
        <w:pStyle w:val="ListParagraph"/>
        <w:numPr>
          <w:ilvl w:val="0"/>
          <w:numId w:val="2"/>
        </w:numPr>
        <w:spacing w:after="60" w:before="60"/>
      </w:pPr>
      <w:r>
        <w:rPr>
          <w:rFonts w:ascii="Arial" w:cs="Arial" w:eastAsia="Arial" w:hAnsi="Arial"/>
          <w:color w:val="111827"/>
          <w:sz w:val="22"/>
          <w:szCs w:val="22"/>
        </w:rPr>
        <w:t xml:space="preserve">Each reading is published to GCP Pub/Sub, which acts as the central shock absorber.</w:t>
      </w:r>
    </w:p>
    <w:p>
      <w:pPr>
        <w:pStyle w:val="ListParagraph"/>
        <w:numPr>
          <w:ilvl w:val="0"/>
          <w:numId w:val="2"/>
        </w:numPr>
        <w:spacing w:after="60" w:before="60"/>
      </w:pPr>
      <w:r>
        <w:rPr>
          <w:rFonts w:ascii="Arial" w:cs="Arial" w:eastAsia="Arial" w:hAnsi="Arial"/>
          <w:color w:val="111827"/>
          <w:sz w:val="22"/>
          <w:szCs w:val="22"/>
        </w:rPr>
        <w:t xml:space="preserve">Pub/Sub fans the message out to three consumers simultaneously:</w:t>
      </w:r>
    </w:p>
    <w:p>
      <w:pPr>
        <w:pStyle w:val="ListParagraph"/>
        <w:numPr>
          <w:ilvl w:val="1"/>
          <w:numId w:val="2"/>
        </w:numPr>
        <w:spacing w:after="60" w:before="60"/>
      </w:pPr>
      <w:r>
        <w:rPr>
          <w:rFonts w:ascii="Arial" w:cs="Arial" w:eastAsia="Arial" w:hAnsi="Arial"/>
          <w:color w:val="111827"/>
          <w:sz w:val="22"/>
          <w:szCs w:val="22"/>
        </w:rPr>
        <w:t xml:space="preserve">Cassandra via Spring Boot Worker — for low-latency, real-time storage.</w:t>
      </w:r>
    </w:p>
    <w:p>
      <w:pPr>
        <w:pStyle w:val="ListParagraph"/>
        <w:numPr>
          <w:ilvl w:val="1"/>
          <w:numId w:val="2"/>
        </w:numPr>
        <w:spacing w:after="60" w:before="60"/>
      </w:pPr>
      <w:r>
        <w:rPr>
          <w:rFonts w:ascii="Arial" w:cs="Arial" w:eastAsia="Arial" w:hAnsi="Arial"/>
          <w:color w:val="111827"/>
          <w:sz w:val="22"/>
          <w:szCs w:val="22"/>
        </w:rPr>
        <w:t xml:space="preserve">BigQuery via a direct streaming subscription — for SQL-based analytics.</w:t>
      </w:r>
    </w:p>
    <w:p>
      <w:pPr>
        <w:pStyle w:val="ListParagraph"/>
        <w:numPr>
          <w:ilvl w:val="1"/>
          <w:numId w:val="2"/>
        </w:numPr>
        <w:spacing w:after="60" w:before="60"/>
      </w:pPr>
      <w:r>
        <w:rPr>
          <w:rFonts w:ascii="Arial" w:cs="Arial" w:eastAsia="Arial" w:hAnsi="Arial"/>
          <w:color w:val="111827"/>
          <w:sz w:val="22"/>
          <w:szCs w:val="22"/>
        </w:rPr>
        <w:t xml:space="preserve">Cloud Function — for anomaly detection and email alerts.</w:t>
      </w:r>
    </w:p>
    <w:p>
      <w:pPr>
        <w:pStyle w:val="ListParagraph"/>
        <w:numPr>
          <w:ilvl w:val="0"/>
          <w:numId w:val="2"/>
        </w:numPr>
        <w:spacing w:after="60" w:before="60"/>
      </w:pPr>
      <w:r>
        <w:rPr>
          <w:rFonts w:ascii="Arial" w:cs="Arial" w:eastAsia="Arial" w:hAnsi="Arial"/>
          <w:color w:val="111827"/>
          <w:sz w:val="22"/>
          <w:szCs w:val="22"/>
        </w:rPr>
        <w:t xml:space="preserve">The Live Dashboard reads from Cassandra/BigQuery and renders the data as real-time charts.</w:t>
      </w:r>
    </w:p>
    <w:p>
      <w:pPr>
        <w:spacing w:after="0" w:before="200"/>
      </w:pPr>
    </w:p>
    <w:p>
      <w:pPr>
        <w:pStyle w:val="Heading1"/>
        <w:pBdr>
          <w:bottom w:val="single" w:color="2563EB" w:sz="6" w:space="6"/>
        </w:pBdr>
        <w:spacing w:after="160" w:before="400"/>
      </w:pPr>
      <w:r>
        <w:rPr>
          <w:rFonts w:ascii="Arial" w:cs="Arial" w:eastAsia="Arial" w:hAnsi="Arial"/>
          <w:b/>
          <w:bCs/>
          <w:color w:val="1B3A5C"/>
          <w:sz w:val="32"/>
          <w:szCs w:val="32"/>
        </w:rPr>
        <w:t xml:space="preserve">3.  Component Breakdown</w:t>
      </w:r>
    </w:p>
    <w:p>
      <w:pPr>
        <w:spacing w:after="100" w:before="80"/>
      </w:pPr>
      <w:r>
        <w:rPr>
          <w:rFonts w:ascii="Arial" w:cs="Arial" w:eastAsia="Arial" w:hAnsi="Arial"/>
          <w:color w:val="111827"/>
          <w:sz w:val="22"/>
          <w:szCs w:val="22"/>
        </w:rPr>
        <w:t xml:space="preserve">The table below describes every system component, the technology used, what it does, and a plain-English analogy to make the concept concrete.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000"/>
        <w:gridCol w:w="3560"/>
      </w:tblGrid>
      <w:tr>
        <w:tc>
          <w:tcPr>
            <w:tcW w:type="dxa" w:w="1400"/>
            <w:tcBorders>
              <w:top w:val="single" w:color="D1D5DB" w:sz="1"/>
              <w:left w:val="single" w:color="D1D5DB" w:sz="1"/>
              <w:bottom w:val="single" w:color="D1D5DB" w:sz="1"/>
              <w:right w:val="single" w:color="D1D5DB"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1400"/>
            <w:tcBorders>
              <w:top w:val="single" w:color="D1D5DB" w:sz="1"/>
              <w:left w:val="single" w:color="D1D5DB" w:sz="1"/>
              <w:bottom w:val="single" w:color="D1D5DB" w:sz="1"/>
              <w:right w:val="single" w:color="D1D5DB"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3000"/>
            <w:tcBorders>
              <w:top w:val="single" w:color="D1D5DB" w:sz="1"/>
              <w:left w:val="single" w:color="D1D5DB" w:sz="1"/>
              <w:bottom w:val="single" w:color="D1D5DB" w:sz="1"/>
              <w:right w:val="single" w:color="D1D5DB"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c>
          <w:tcPr>
            <w:tcW w:type="dxa" w:w="3560"/>
            <w:tcBorders>
              <w:top w:val="single" w:color="D1D5DB" w:sz="1"/>
              <w:left w:val="single" w:color="D1D5DB" w:sz="1"/>
              <w:bottom w:val="single" w:color="D1D5DB" w:sz="1"/>
              <w:right w:val="single" w:color="D1D5DB"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Real-World Analogy</w:t>
            </w:r>
          </w:p>
        </w:tc>
      </w:tr>
      <w:tr>
        <w:tc>
          <w:tcPr>
            <w:tcW w:type="dxa" w:w="1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Edge Simulation</w:t>
            </w:r>
          </w:p>
        </w:tc>
        <w:tc>
          <w:tcPr>
            <w:tcW w:type="dxa" w:w="1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Python + Docker</w:t>
            </w:r>
          </w:p>
        </w:tc>
        <w:tc>
          <w:tcPr>
            <w:tcW w:type="dxa" w:w="3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Mimics thousands of sensors publishing bursts of telemetry data (JSON) to the cloud.</w:t>
            </w:r>
          </w:p>
        </w:tc>
        <w:tc>
          <w:tcPr>
            <w:tcW w:type="dxa" w:w="3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Like a factory floor sending sensor readings every second — temperature, pressure, vibration — to a central control room.</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Message Broker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GCP Pub/Sub</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 high-scale 'shock absorber' that catches sensor data and fans it out to three different systems.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Like a post office sorting hub: parcels arrive from thousands of senders and are automatically sorted and routed to the right destinations.</w:t>
            </w:r>
          </w:p>
        </w:tc>
      </w:tr>
      <w:tr>
        <w:tc>
          <w:tcPr>
            <w:tcW w:type="dxa" w:w="1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Real-time Sink</w:t>
            </w:r>
          </w:p>
        </w:tc>
        <w:tc>
          <w:tcPr>
            <w:tcW w:type="dxa" w:w="1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Apache Cassandra</w:t>
            </w:r>
          </w:p>
        </w:tc>
        <w:tc>
          <w:tcPr>
            <w:tcW w:type="dxa" w:w="3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A time-series database using the 'Day-Bucket' partitioning pattern, optimised for high-write loads.</w:t>
            </w:r>
          </w:p>
        </w:tc>
        <w:tc>
          <w:tcPr>
            <w:tcW w:type="dxa" w:w="3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Like a library that organises books by date — every day gets its own shelf so the librarian never has to search the entire building.</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Backend Worker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Spring Boot (Java)</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 microservice that consumes Pub/Sub messages and persists them into Cassandra in real-time.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Like a warehouse clerk who picks items off the conveyor belt and files them in the right drawer instantly.</w:t>
            </w:r>
          </w:p>
        </w:tc>
      </w:tr>
      <w:tr>
        <w:tc>
          <w:tcPr>
            <w:tcW w:type="dxa" w:w="1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Data Warehouse</w:t>
            </w:r>
          </w:p>
        </w:tc>
        <w:tc>
          <w:tcPr>
            <w:tcW w:type="dxa" w:w="1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BigQuery</w:t>
            </w:r>
          </w:p>
        </w:tc>
        <w:tc>
          <w:tcPr>
            <w:tcW w:type="dxa" w:w="3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A no-code pipeline streaming live telemetry directly into a massive warehouse for SQL analytics.</w:t>
            </w:r>
          </w:p>
        </w:tc>
        <w:tc>
          <w:tcPr>
            <w:tcW w:type="dxa" w:w="3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Like a stadium scoreboard that updates live — executives can run complex stats on billions of rows using simple SQL.</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Alerting System</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Cloud Functions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 serverless Python function monitoring every message and sending Gmail alerts on anomalies.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Like a smoke detector — it sits quietly in the background, consuming zero energy, until something goes wrong.</w:t>
            </w:r>
          </w:p>
        </w:tc>
      </w:tr>
      <w:tr>
        <w:tc>
          <w:tcPr>
            <w:tcW w:type="dxa" w:w="1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Live Dashboard</w:t>
            </w:r>
          </w:p>
        </w:tc>
        <w:tc>
          <w:tcPr>
            <w:tcW w:type="dxa" w:w="1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HTML/CSS/JS</w:t>
            </w:r>
          </w:p>
        </w:tc>
        <w:tc>
          <w:tcPr>
            <w:tcW w:type="dxa" w:w="3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A premium glassmorphism-themed UI with real-time charts visualising sensor data.</w:t>
            </w:r>
          </w:p>
        </w:tc>
        <w:tc>
          <w:tcPr>
            <w:tcW w:type="dxa" w:w="3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11827"/>
                <w:sz w:val="20"/>
                <w:szCs w:val="20"/>
              </w:rPr>
              <w:t xml:space="preserve">Like a pilot's cockpit display — everything relevant at a glance, updating in real-time, no manual refresh needed.</w:t>
            </w:r>
          </w:p>
        </w:tc>
      </w:tr>
    </w:tbl>
    <w:p>
      <w:pPr>
        <w:spacing w:after="0" w:before="80"/>
      </w:pPr>
    </w:p>
    <w:p>
      <w:pPr>
        <w:pStyle w:val="Heading2"/>
        <w:spacing w:after="120" w:before="300"/>
      </w:pPr>
      <w:r>
        <w:rPr>
          <w:rFonts w:ascii="Arial" w:cs="Arial" w:eastAsia="Arial" w:hAnsi="Arial"/>
          <w:b/>
          <w:bCs/>
          <w:color w:val="2563EB"/>
          <w:sz w:val="26"/>
          <w:szCs w:val="26"/>
        </w:rPr>
        <w:t xml:space="preserve">3.1  Edge Simulation — The Sensor Fleet</w:t>
      </w:r>
    </w:p>
    <w:p>
      <w:pPr>
        <w:spacing w:after="100" w:before="80"/>
      </w:pPr>
      <w:r>
        <w:rPr>
          <w:rFonts w:ascii="Arial" w:cs="Arial" w:eastAsia="Arial" w:hAnsi="Arial"/>
          <w:color w:val="111827"/>
          <w:sz w:val="22"/>
          <w:szCs w:val="22"/>
        </w:rPr>
        <w:t xml:space="preserve">The Python simulation script creates realistic IoT sensor behaviour: random values within plausible ranges, occasional anomalies (to test alerts), and a configurable burst rate to stress-test the pipeline.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9C3" w:val="clear"/>
            <w:tcMar>
              <w:top w:type="dxa" w:w="140"/>
              <w:left w:type="dxa" w:w="200"/>
              <w:bottom w:type="dxa" w:w="140"/>
              <w:right w:type="dxa" w:w="200"/>
            </w:tcMar>
          </w:tcPr>
          <w:p>
            <w:pPr>
              <w:spacing w:after="80" w:before="60"/>
            </w:pPr>
            <w:r>
              <w:rPr>
                <w:rFonts w:ascii="Arial" w:cs="Arial" w:eastAsia="Arial" w:hAnsi="Arial"/>
                <w:b/>
                <w:bCs/>
                <w:color w:val="CA8A04"/>
                <w:sz w:val="22"/>
                <w:szCs w:val="22"/>
              </w:rPr>
              <w:t xml:space="preserve">Why Docker?</w:t>
            </w:r>
          </w:p>
          <w:p>
            <w:pPr>
              <w:spacing w:after="40" w:before="40"/>
            </w:pPr>
            <w:r>
              <w:rPr>
                <w:rFonts w:ascii="Arial" w:cs="Arial" w:eastAsia="Arial" w:hAnsi="Arial"/>
                <w:color w:val="111827"/>
                <w:sz w:val="20"/>
                <w:szCs w:val="20"/>
              </w:rPr>
              <w:t xml:space="preserve">Packaging the simulator in Docker means any team member can run it on any machine with a single command. No Python version conflicts, no missing libraries — the container brings its own environment. Like pre-mixing a cocktail in a sealed bottle so anyone can pour the exact same drink anywhere in the world.</w:t>
            </w:r>
          </w:p>
        </w:tc>
      </w:tr>
    </w:tbl>
    <w:p>
      <w:pPr>
        <w:spacing w:after="0" w:before="160"/>
      </w:pPr>
    </w:p>
    <w:p>
      <w:pPr>
        <w:pStyle w:val="Heading2"/>
        <w:spacing w:after="120" w:before="300"/>
      </w:pPr>
      <w:r>
        <w:rPr>
          <w:rFonts w:ascii="Arial" w:cs="Arial" w:eastAsia="Arial" w:hAnsi="Arial"/>
          <w:b/>
          <w:bCs/>
          <w:color w:val="2563EB"/>
          <w:sz w:val="26"/>
          <w:szCs w:val="26"/>
        </w:rPr>
        <w:t xml:space="preserve">3.2  GCP Pub/Sub — The Shock Absorber</w:t>
      </w:r>
    </w:p>
    <w:p>
      <w:pPr>
        <w:spacing w:after="100" w:before="80"/>
      </w:pPr>
      <w:r>
        <w:rPr>
          <w:rFonts w:ascii="Arial" w:cs="Arial" w:eastAsia="Arial" w:hAnsi="Arial"/>
          <w:color w:val="111827"/>
          <w:sz w:val="22"/>
          <w:szCs w:val="22"/>
        </w:rPr>
        <w:t xml:space="preserve">Pub/Sub is the architectural centrepiece. It decouples the producers (sensors) from the consumers (Cassandra, BigQuery, Cloud Functions), meaning they never need to talk to each other directly.</w:t>
      </w:r>
    </w:p>
    <w:p>
      <w:pPr>
        <w:spacing w:after="0" w:before="60"/>
      </w:pPr>
    </w:p>
    <w:p>
      <w:pPr>
        <w:spacing w:after="100" w:before="80"/>
      </w:pPr>
      <w:r>
        <w:rPr>
          <w:rFonts w:ascii="Arial" w:cs="Arial" w:eastAsia="Arial" w:hAnsi="Arial"/>
          <w:b/>
          <w:bCs/>
          <w:color w:val="111827"/>
          <w:sz w:val="22"/>
          <w:szCs w:val="22"/>
        </w:rPr>
        <w:t xml:space="preserve">Key properties:</w:t>
      </w:r>
    </w:p>
    <w:p>
      <w:pPr>
        <w:pStyle w:val="ListParagraph"/>
        <w:numPr>
          <w:ilvl w:val="0"/>
          <w:numId w:val="2"/>
        </w:numPr>
        <w:spacing w:after="60" w:before="60"/>
      </w:pPr>
      <w:r>
        <w:rPr>
          <w:rFonts w:ascii="Arial" w:cs="Arial" w:eastAsia="Arial" w:hAnsi="Arial"/>
          <w:color w:val="111827"/>
          <w:sz w:val="22"/>
          <w:szCs w:val="22"/>
        </w:rPr>
        <w:t xml:space="preserve">Durability: Messages are stored until every subscriber acknowledges receipt.</w:t>
      </w:r>
    </w:p>
    <w:p>
      <w:pPr>
        <w:pStyle w:val="ListParagraph"/>
        <w:numPr>
          <w:ilvl w:val="0"/>
          <w:numId w:val="2"/>
        </w:numPr>
        <w:spacing w:after="60" w:before="60"/>
      </w:pPr>
      <w:r>
        <w:rPr>
          <w:rFonts w:ascii="Arial" w:cs="Arial" w:eastAsia="Arial" w:hAnsi="Arial"/>
          <w:color w:val="111827"/>
          <w:sz w:val="22"/>
          <w:szCs w:val="22"/>
        </w:rPr>
        <w:t xml:space="preserve">Scalability: Handles millions of messages per second without configuration changes.</w:t>
      </w:r>
    </w:p>
    <w:p>
      <w:pPr>
        <w:pStyle w:val="ListParagraph"/>
        <w:numPr>
          <w:ilvl w:val="0"/>
          <w:numId w:val="2"/>
        </w:numPr>
        <w:spacing w:after="60" w:before="60"/>
      </w:pPr>
      <w:r>
        <w:rPr>
          <w:rFonts w:ascii="Arial" w:cs="Arial" w:eastAsia="Arial" w:hAnsi="Arial"/>
          <w:color w:val="111827"/>
          <w:sz w:val="22"/>
          <w:szCs w:val="22"/>
        </w:rPr>
        <w:t xml:space="preserve">Fan-Out: The same message is delivered to all three consumers independently.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CFCE7" w:val="clear"/>
            <w:tcMar>
              <w:top w:type="dxa" w:w="140"/>
              <w:left w:type="dxa" w:w="200"/>
              <w:bottom w:type="dxa" w:w="140"/>
              <w:right w:type="dxa" w:w="200"/>
            </w:tcMar>
          </w:tcPr>
          <w:p>
            <w:pPr>
              <w:spacing w:after="80" w:before="60"/>
            </w:pPr>
            <w:r>
              <w:rPr>
                <w:rFonts w:ascii="Arial" w:cs="Arial" w:eastAsia="Arial" w:hAnsi="Arial"/>
                <w:b/>
                <w:bCs/>
                <w:color w:val="16A34A"/>
                <w:sz w:val="22"/>
                <w:szCs w:val="22"/>
              </w:rPr>
              <w:t xml:space="preserve">Why this matters</w:t>
            </w:r>
          </w:p>
          <w:p>
            <w:pPr>
              <w:spacing w:after="40" w:before="40"/>
            </w:pPr>
            <w:r>
              <w:rPr>
                <w:rFonts w:ascii="Arial" w:cs="Arial" w:eastAsia="Arial" w:hAnsi="Arial"/>
                <w:color w:val="111827"/>
                <w:sz w:val="20"/>
                <w:szCs w:val="20"/>
              </w:rPr>
              <w:t xml:space="preserve">Without Pub/Sub, the sensor would need to write directly to Cassandra, BigQuery, and the alert function simultaneously. If any one of them is slow or down, the sensor blocks. With Pub/Sub, the sensor fires-and-forgets in milliseconds. Downstream systems catch up at their own pace — like dropping letters in a post box rather than hand-delivering each one.</w:t>
            </w:r>
          </w:p>
        </w:tc>
      </w:tr>
    </w:tbl>
    <w:p>
      <w:pPr>
        <w:spacing w:after="0" w:before="160"/>
      </w:pPr>
    </w:p>
    <w:p>
      <w:pPr>
        <w:pStyle w:val="Heading2"/>
        <w:spacing w:after="120" w:before="300"/>
      </w:pPr>
      <w:r>
        <w:rPr>
          <w:rFonts w:ascii="Arial" w:cs="Arial" w:eastAsia="Arial" w:hAnsi="Arial"/>
          <w:b/>
          <w:bCs/>
          <w:color w:val="2563EB"/>
          <w:sz w:val="26"/>
          <w:szCs w:val="26"/>
        </w:rPr>
        <w:t xml:space="preserve">3.3  Apache Cassandra — The Time-Series Vault</w:t>
      </w:r>
    </w:p>
    <w:p>
      <w:pPr>
        <w:spacing w:after="100" w:before="80"/>
      </w:pPr>
      <w:r>
        <w:rPr>
          <w:rFonts w:ascii="Arial" w:cs="Arial" w:eastAsia="Arial" w:hAnsi="Arial"/>
          <w:color w:val="111827"/>
          <w:sz w:val="22"/>
          <w:szCs w:val="22"/>
        </w:rPr>
        <w:t xml:space="preserve">Cassandra is a distributed NoSQL database built for exactly this use case: high-speed writes from many sources, with time-based querying. The core design pattern we used is Day-Bucket Partitioning.</w:t>
      </w:r>
    </w:p>
    <w:p>
      <w:pPr>
        <w:spacing w:after="0" w:before="60"/>
      </w:pPr>
    </w:p>
    <w:p>
      <w:pPr>
        <w:spacing w:after="100" w:before="80"/>
      </w:pPr>
      <w:r>
        <w:rPr>
          <w:rFonts w:ascii="Arial" w:cs="Arial" w:eastAsia="Arial" w:hAnsi="Arial"/>
          <w:b/>
          <w:bCs/>
          <w:color w:val="111827"/>
          <w:sz w:val="22"/>
          <w:szCs w:val="22"/>
        </w:rPr>
        <w:t xml:space="preserve">How Day-Bucket Partitioning works:</w:t>
      </w:r>
    </w:p>
    <w:p>
      <w:pPr>
        <w:pStyle w:val="ListParagraph"/>
        <w:numPr>
          <w:ilvl w:val="0"/>
          <w:numId w:val="2"/>
        </w:numPr>
        <w:spacing w:after="60" w:before="60"/>
      </w:pPr>
      <w:r>
        <w:rPr>
          <w:rFonts w:ascii="Arial" w:cs="Arial" w:eastAsia="Arial" w:hAnsi="Arial"/>
          <w:color w:val="111827"/>
          <w:sz w:val="22"/>
          <w:szCs w:val="22"/>
        </w:rPr>
        <w:t xml:space="preserve">The partition key is a composite of device_id + the date (e.g., 'sensor-42 | 2026-04-28').</w:t>
      </w:r>
    </w:p>
    <w:p>
      <w:pPr>
        <w:pStyle w:val="ListParagraph"/>
        <w:numPr>
          <w:ilvl w:val="0"/>
          <w:numId w:val="2"/>
        </w:numPr>
        <w:spacing w:after="60" w:before="60"/>
      </w:pPr>
      <w:r>
        <w:rPr>
          <w:rFonts w:ascii="Arial" w:cs="Arial" w:eastAsia="Arial" w:hAnsi="Arial"/>
          <w:color w:val="111827"/>
          <w:sz w:val="22"/>
          <w:szCs w:val="22"/>
        </w:rPr>
        <w:t xml:space="preserve">All readings for a given sensor on a given day land in the same partition.</w:t>
      </w:r>
    </w:p>
    <w:p>
      <w:pPr>
        <w:pStyle w:val="ListParagraph"/>
        <w:numPr>
          <w:ilvl w:val="0"/>
          <w:numId w:val="2"/>
        </w:numPr>
        <w:spacing w:after="60" w:before="60"/>
      </w:pPr>
      <w:r>
        <w:rPr>
          <w:rFonts w:ascii="Arial" w:cs="Arial" w:eastAsia="Arial" w:hAnsi="Arial"/>
          <w:color w:val="111827"/>
          <w:sz w:val="22"/>
          <w:szCs w:val="22"/>
        </w:rPr>
        <w:t xml:space="preserve">Querying 'all data from sensor-42 today' becomes a direct lookup — no full-table scan.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CCFBF1" w:val="clear"/>
            <w:tcMar>
              <w:top w:type="dxa" w:w="140"/>
              <w:left w:type="dxa" w:w="200"/>
              <w:bottom w:type="dxa" w:w="140"/>
              <w:right w:type="dxa" w:w="200"/>
            </w:tcMar>
          </w:tcPr>
          <w:p>
            <w:pPr>
              <w:spacing w:after="80" w:before="60"/>
            </w:pPr>
            <w:r>
              <w:rPr>
                <w:rFonts w:ascii="Arial" w:cs="Arial" w:eastAsia="Arial" w:hAnsi="Arial"/>
                <w:b/>
                <w:bCs/>
                <w:color w:val="0F766E"/>
                <w:sz w:val="22"/>
                <w:szCs w:val="22"/>
              </w:rPr>
              <w:t xml:space="preserve">Real-World Analogy: The Filing Cabinet</w:t>
            </w:r>
          </w:p>
          <w:p>
            <w:pPr>
              <w:spacing w:after="40" w:before="40"/>
            </w:pPr>
            <w:r>
              <w:rPr>
                <w:rFonts w:ascii="Arial" w:cs="Arial" w:eastAsia="Arial" w:hAnsi="Arial"/>
                <w:color w:val="111827"/>
                <w:sz w:val="20"/>
                <w:szCs w:val="20"/>
              </w:rPr>
              <w:t xml:space="preserve">Imagine a filing cabinet with one drawer per day. Inside each drawer, documents are sorted by sensor ID. To find all of sensor-42's data from yesterday, you open yesterday's drawer and go straight to the '42' tab. You never need to rummage through the entire cabinet.</w:t>
            </w:r>
          </w:p>
        </w:tc>
      </w:tr>
    </w:tbl>
    <w:p>
      <w:pPr>
        <w:spacing w:after="0" w:before="160"/>
      </w:pPr>
    </w:p>
    <w:p>
      <w:pPr>
        <w:pStyle w:val="Heading2"/>
        <w:spacing w:after="120" w:before="300"/>
      </w:pPr>
      <w:r>
        <w:rPr>
          <w:rFonts w:ascii="Arial" w:cs="Arial" w:eastAsia="Arial" w:hAnsi="Arial"/>
          <w:b/>
          <w:bCs/>
          <w:color w:val="2563EB"/>
          <w:sz w:val="26"/>
          <w:szCs w:val="26"/>
        </w:rPr>
        <w:t xml:space="preserve">3.4  Spring Boot Worker — The Diligent Clerk</w:t>
      </w:r>
    </w:p>
    <w:p>
      <w:pPr>
        <w:spacing w:after="100" w:before="80"/>
      </w:pPr>
      <w:r>
        <w:rPr>
          <w:rFonts w:ascii="Arial" w:cs="Arial" w:eastAsia="Arial" w:hAnsi="Arial"/>
          <w:color w:val="111827"/>
          <w:sz w:val="22"/>
          <w:szCs w:val="22"/>
        </w:rPr>
        <w:t xml:space="preserve">The Spring Boot microservice is a long-running Java application. Its single job: pull messages off the Pub/Sub queue and write them into Cassandra as fast as possible.</w:t>
      </w:r>
    </w:p>
    <w:p>
      <w:pPr>
        <w:spacing w:after="0" w:before="60"/>
      </w:pPr>
    </w:p>
    <w:p>
      <w:pPr>
        <w:spacing w:after="100" w:before="80"/>
      </w:pPr>
      <w:r>
        <w:rPr>
          <w:rFonts w:ascii="Arial" w:cs="Arial" w:eastAsia="Arial" w:hAnsi="Arial"/>
          <w:color w:val="111827"/>
          <w:sz w:val="22"/>
          <w:szCs w:val="22"/>
        </w:rPr>
        <w:t xml:space="preserve">It uses the DataStax Java driver for Cassandra, which provides connection pooling, automatic retry on transient errors, and prepared statements for efficient batch writes.</w:t>
      </w:r>
    </w:p>
    <w:p>
      <w:pPr>
        <w:spacing w:after="0" w:before="160"/>
      </w:pPr>
    </w:p>
    <w:p>
      <w:pPr>
        <w:pStyle w:val="Heading2"/>
        <w:spacing w:after="120" w:before="300"/>
      </w:pPr>
      <w:r>
        <w:rPr>
          <w:rFonts w:ascii="Arial" w:cs="Arial" w:eastAsia="Arial" w:hAnsi="Arial"/>
          <w:b/>
          <w:bCs/>
          <w:color w:val="2563EB"/>
          <w:sz w:val="26"/>
          <w:szCs w:val="26"/>
        </w:rPr>
        <w:t xml:space="preserve">3.5  BigQuery — The Analytics Engine</w:t>
      </w:r>
    </w:p>
    <w:p>
      <w:pPr>
        <w:spacing w:after="100" w:before="80"/>
      </w:pPr>
      <w:r>
        <w:rPr>
          <w:rFonts w:ascii="Arial" w:cs="Arial" w:eastAsia="Arial" w:hAnsi="Arial"/>
          <w:color w:val="111827"/>
          <w:sz w:val="22"/>
          <w:szCs w:val="22"/>
        </w:rPr>
        <w:t xml:space="preserve">While Cassandra is optimised for fast writes and point-in-time lookups, BigQuery is the opposite: it is a columnar data warehouse built for running complex analytical queries across billions of rows.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40"/>
              <w:left w:type="dxa" w:w="200"/>
              <w:bottom w:type="dxa" w:w="140"/>
              <w:right w:type="dxa" w:w="200"/>
            </w:tcMar>
          </w:tcPr>
          <w:p>
            <w:pPr>
              <w:spacing w:after="80" w:before="60"/>
            </w:pPr>
            <w:r>
              <w:rPr>
                <w:rFonts w:ascii="Arial" w:cs="Arial" w:eastAsia="Arial" w:hAnsi="Arial"/>
                <w:b/>
                <w:bCs/>
                <w:color w:val="2563EB"/>
                <w:sz w:val="22"/>
                <w:szCs w:val="22"/>
              </w:rPr>
              <w:t xml:space="preserve">Cassandra vs BigQuery — When to use which</w:t>
            </w:r>
          </w:p>
          <w:p>
            <w:pPr>
              <w:spacing w:after="40" w:before="40"/>
            </w:pPr>
            <w:r>
              <w:rPr>
                <w:rFonts w:ascii="Arial" w:cs="Arial" w:eastAsia="Arial" w:hAnsi="Arial"/>
                <w:color w:val="111827"/>
                <w:sz w:val="20"/>
                <w:szCs w:val="20"/>
              </w:rPr>
              <w:t xml:space="preserve">• Cassandra: 'Give me the last 100 readings from sensor-42.' (Fast, targeted lookup)</w:t>
            </w:r>
          </w:p>
          <w:p>
            <w:pPr>
              <w:spacing w:after="40" w:before="40"/>
            </w:pPr>
            <w:r>
              <w:rPr>
                <w:rFonts w:ascii="Arial" w:cs="Arial" w:eastAsia="Arial" w:hAnsi="Arial"/>
                <w:color w:val="111827"/>
                <w:sz w:val="20"/>
                <w:szCs w:val="20"/>
              </w:rPr>
              <w:t xml:space="preserve">• BigQuery: 'Give me the average temperature across all 10,000 sensors, grouped by region, over the last 90 days.' (Slow query, massive dataset — perfect for BigQuery)</w:t>
            </w:r>
          </w:p>
          <w:p>
            <w:pPr>
              <w:spacing w:after="40" w:before="40"/>
            </w:pPr>
            <w:r>
              <w:rPr>
                <w:rFonts w:ascii="Arial" w:cs="Arial" w:eastAsia="Arial" w:hAnsi="Arial"/>
                <w:color w:val="111827"/>
                <w:sz w:val="20"/>
                <w:szCs w:val="20"/>
              </w:rPr>
              <w:t xml:space="preserve">Think of Cassandra as a sports team's real-time scoreboard and BigQuery as the season statistics database.</w:t>
            </w:r>
          </w:p>
        </w:tc>
      </w:tr>
    </w:tbl>
    <w:p>
      <w:pPr>
        <w:spacing w:after="0" w:before="160"/>
      </w:pPr>
    </w:p>
    <w:p>
      <w:pPr>
        <w:pStyle w:val="Heading2"/>
        <w:spacing w:after="120" w:before="300"/>
      </w:pPr>
      <w:r>
        <w:rPr>
          <w:rFonts w:ascii="Arial" w:cs="Arial" w:eastAsia="Arial" w:hAnsi="Arial"/>
          <w:b/>
          <w:bCs/>
          <w:color w:val="2563EB"/>
          <w:sz w:val="26"/>
          <w:szCs w:val="26"/>
        </w:rPr>
        <w:t xml:space="preserve">3.6  Cloud Functions — The Silent Watchman</w:t>
      </w:r>
    </w:p>
    <w:p>
      <w:pPr>
        <w:spacing w:after="100" w:before="80"/>
      </w:pPr>
      <w:r>
        <w:rPr>
          <w:rFonts w:ascii="Arial" w:cs="Arial" w:eastAsia="Arial" w:hAnsi="Arial"/>
          <w:color w:val="111827"/>
          <w:sz w:val="22"/>
          <w:szCs w:val="22"/>
        </w:rPr>
        <w:t xml:space="preserve">The Cloud Function is a serverless Python function that runs on every single Pub/Sub message. It checks whether any value exceeds a defined anomaly threshold and, if so, fires a Gmail alert.</w:t>
      </w:r>
    </w:p>
    <w:p>
      <w:pPr>
        <w:spacing w:after="0" w:before="60"/>
      </w:pPr>
    </w:p>
    <w:p>
      <w:pPr>
        <w:spacing w:after="100" w:before="80"/>
      </w:pPr>
      <w:r>
        <w:rPr>
          <w:rFonts w:ascii="Arial" w:cs="Arial" w:eastAsia="Arial" w:hAnsi="Arial"/>
          <w:color w:val="111827"/>
          <w:sz w:val="22"/>
          <w:szCs w:val="22"/>
        </w:rPr>
        <w:t xml:space="preserve">Serverless means Google manages the infrastructure entirely. When messages are flowing, Google spins up instances automatically. When the pipeline is idle, the function costs nothing. You pay only per invocation — like hiring a security guard who only charges you for the exact seconds they are actively watching something.</w:t>
      </w:r>
    </w:p>
    <w:p>
      <w:pPr>
        <w:spacing w:after="0" w:before="160"/>
      </w:pPr>
    </w:p>
    <w:p>
      <w:pPr>
        <w:pStyle w:val="Heading2"/>
        <w:spacing w:after="120" w:before="300"/>
      </w:pPr>
      <w:r>
        <w:rPr>
          <w:rFonts w:ascii="Arial" w:cs="Arial" w:eastAsia="Arial" w:hAnsi="Arial"/>
          <w:b/>
          <w:bCs/>
          <w:color w:val="2563EB"/>
          <w:sz w:val="26"/>
          <w:szCs w:val="26"/>
        </w:rPr>
        <w:t xml:space="preserve">3.7  Live Dashboard — The Cockpit</w:t>
      </w:r>
    </w:p>
    <w:p>
      <w:pPr>
        <w:spacing w:after="100" w:before="80"/>
      </w:pPr>
      <w:r>
        <w:rPr>
          <w:rFonts w:ascii="Arial" w:cs="Arial" w:eastAsia="Arial" w:hAnsi="Arial"/>
          <w:color w:val="111827"/>
          <w:sz w:val="22"/>
          <w:szCs w:val="22"/>
        </w:rPr>
        <w:t xml:space="preserve">The dashboard is a pure HTML/CSS/JS single-page application with a glassmorphism design aesthetic (frosted-glass UI cards, gradient backgrounds). It polls the backend API and updates charts in real-time using Chart.js.</w:t>
      </w:r>
    </w:p>
    <w:p>
      <w:pPr>
        <w:spacing w:after="0" w:before="60"/>
      </w:pPr>
    </w:p>
    <w:p>
      <w:pPr>
        <w:spacing w:after="100" w:before="80"/>
      </w:pPr>
      <w:r>
        <w:rPr>
          <w:rFonts w:ascii="Arial" w:cs="Arial" w:eastAsia="Arial" w:hAnsi="Arial"/>
          <w:color w:val="111827"/>
          <w:sz w:val="22"/>
          <w:szCs w:val="22"/>
        </w:rPr>
        <w:t xml:space="preserve">No framework (React/Vue) was needed — the data update cycle is simple enough that vanilla JS with setInterval keeps the dashboard live. This reduces deployment complexity significantly.</w:t>
      </w:r>
    </w:p>
    <w:p>
      <w:r>
        <w:br w:type="page"/>
      </w:r>
    </w:p>
    <w:p>
      <w:pPr>
        <w:pStyle w:val="Heading1"/>
        <w:pBdr>
          <w:bottom w:val="single" w:color="2563EB" w:sz="6" w:space="6"/>
        </w:pBdr>
        <w:spacing w:after="160" w:before="400"/>
      </w:pPr>
      <w:r>
        <w:rPr>
          <w:rFonts w:ascii="Arial" w:cs="Arial" w:eastAsia="Arial" w:hAnsi="Arial"/>
          <w:b/>
          <w:bCs/>
          <w:color w:val="1B3A5C"/>
          <w:sz w:val="32"/>
          <w:szCs w:val="32"/>
        </w:rPr>
        <w:t xml:space="preserve">4.  Technical Hurdles — Battles Won</w:t>
      </w:r>
    </w:p>
    <w:p>
      <w:pPr>
        <w:spacing w:after="100" w:before="80"/>
      </w:pPr>
      <w:r>
        <w:rPr>
          <w:rFonts w:ascii="Arial" w:cs="Arial" w:eastAsia="Arial" w:hAnsi="Arial"/>
          <w:color w:val="111827"/>
          <w:sz w:val="22"/>
          <w:szCs w:val="22"/>
        </w:rPr>
        <w:t xml:space="preserve">Distributed systems projects invariably involve a sequence of configuration mismatches, permission errors, and subtle bugs. The following is a detailed log of every issue encountered, the root cause, and the exact fix applied. This section is the most valuable part of this document for future maintainers.</w:t>
      </w:r>
    </w:p>
    <w:p>
      <w:pPr>
        <w:spacing w:after="0" w:before="160"/>
      </w:pPr>
    </w:p>
    <w:p>
      <w:pPr>
        <w:pStyle w:val="Heading2"/>
        <w:spacing w:after="120" w:before="300"/>
      </w:pPr>
      <w:r>
        <w:rPr>
          <w:rFonts w:ascii="Arial" w:cs="Arial" w:eastAsia="Arial" w:hAnsi="Arial"/>
          <w:b/>
          <w:bCs/>
          <w:color w:val="2563EB"/>
          <w:sz w:val="26"/>
          <w:szCs w:val="26"/>
        </w:rPr>
        <w:t xml:space="preserve">4.1  Infrastructure &amp; Connectivity Issues</w:t>
      </w:r>
    </w:p>
    <w:p>
      <w:pPr>
        <w:pStyle w:val="Heading3"/>
        <w:spacing w:after="100" w:before="240"/>
      </w:pPr>
      <w:r>
        <w:rPr>
          <w:rFonts w:ascii="Arial" w:cs="Arial" w:eastAsia="Arial" w:hAnsi="Arial"/>
          <w:b/>
          <w:bCs/>
          <w:color w:val="DC2626"/>
          <w:sz w:val="22"/>
          <w:szCs w:val="22"/>
        </w:rPr>
        <w:t xml:space="preserve">Issue 1: Cassandra Datacenter Mismatch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40"/>
              <w:left w:type="dxa" w:w="200"/>
              <w:bottom w:type="dxa" w:w="140"/>
              <w:right w:type="dxa" w:w="200"/>
            </w:tcMar>
          </w:tcPr>
          <w:p>
            <w:pPr>
              <w:spacing w:after="100" w:before="80"/>
            </w:pPr>
            <w:r>
              <w:rPr>
                <w:rFonts w:ascii="Arial" w:cs="Arial" w:eastAsia="Arial" w:hAnsi="Arial"/>
                <w:b/>
                <w:bCs/>
                <w:color w:val="111827"/>
                <w:sz w:val="22"/>
                <w:szCs w:val="22"/>
              </w:rPr>
              <w:t xml:space="preserve">Category: </w:t>
            </w:r>
            <w:r>
              <w:rPr>
                <w:rFonts w:ascii="Arial" w:cs="Arial" w:eastAsia="Arial" w:hAnsi="Arial"/>
                <w:color w:val="111827"/>
                <w:sz w:val="22"/>
                <w:szCs w:val="22"/>
              </w:rPr>
              <w:t xml:space="preserve">Configuration Mismatch</w:t>
            </w:r>
          </w:p>
          <w:p>
            <w:pPr>
              <w:spacing w:after="100" w:before="80"/>
            </w:pPr>
            <w:r>
              <w:rPr>
                <w:rFonts w:ascii="Arial" w:cs="Arial" w:eastAsia="Arial" w:hAnsi="Arial"/>
                <w:b/>
                <w:bCs/>
                <w:color w:val="111827"/>
                <w:sz w:val="22"/>
                <w:szCs w:val="22"/>
              </w:rPr>
              <w:t xml:space="preserve">Error: </w:t>
            </w:r>
            <w:r>
              <w:rPr>
                <w:rFonts w:ascii="Arial" w:cs="Arial" w:eastAsia="Arial" w:hAnsi="Arial"/>
                <w:color w:val="111827"/>
                <w:sz w:val="22"/>
                <w:szCs w:val="22"/>
              </w:rPr>
              <w:t xml:space="preserve">Spring Boot could not connect to Cassandra — it was looking for a datacenter named dc1 but the Docker node was registered as datacenter1.</w:t>
            </w:r>
          </w:p>
          <w:p>
            <w:pPr>
              <w:spacing w:after="100" w:before="80"/>
            </w:pPr>
            <w:r>
              <w:rPr>
                <w:rFonts w:ascii="Arial" w:cs="Arial" w:eastAsia="Arial" w:hAnsi="Arial"/>
                <w:b/>
                <w:bCs/>
                <w:color w:val="111827"/>
                <w:sz w:val="22"/>
                <w:szCs w:val="22"/>
              </w:rPr>
              <w:t xml:space="preserve">Root Cause: </w:t>
            </w:r>
            <w:r>
              <w:rPr>
                <w:rFonts w:ascii="Arial" w:cs="Arial" w:eastAsia="Arial" w:hAnsi="Arial"/>
                <w:color w:val="111827"/>
                <w:sz w:val="22"/>
                <w:szCs w:val="22"/>
              </w:rPr>
              <w:t xml:space="preserve">The DataStax driver requires the local-datacenter in application.yml to match exactly the name Cassandra reports for its own node. A single character difference causes a fatal connection failure.</w:t>
            </w:r>
          </w:p>
          <w:p>
            <w:pPr>
              <w:spacing w:after="100" w:before="80"/>
            </w:pPr>
            <w:r>
              <w:rPr>
                <w:rFonts w:ascii="Arial" w:cs="Arial" w:eastAsia="Arial" w:hAnsi="Arial"/>
                <w:b/>
                <w:bCs/>
                <w:color w:val="111827"/>
                <w:sz w:val="22"/>
                <w:szCs w:val="22"/>
              </w:rPr>
              <w:t xml:space="preserve">Fix: </w:t>
            </w:r>
            <w:r>
              <w:rPr>
                <w:rFonts w:ascii="Arial" w:cs="Arial" w:eastAsia="Arial" w:hAnsi="Arial"/>
                <w:color w:val="111827"/>
                <w:sz w:val="22"/>
                <w:szCs w:val="22"/>
              </w:rPr>
              <w:t xml:space="preserve">Ran 'SELECT data_center FROM system.local;' inside cqlsh to discover the true name, then updated application.yml accordingly.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40"/>
              <w:left w:type="dxa" w:w="200"/>
              <w:bottom w:type="dxa" w:w="140"/>
              <w:right w:type="dxa" w:w="200"/>
            </w:tcMar>
          </w:tcPr>
          <w:p>
            <w:pPr>
              <w:spacing w:after="80" w:before="60"/>
            </w:pPr>
            <w:r>
              <w:rPr>
                <w:rFonts w:ascii="Arial" w:cs="Arial" w:eastAsia="Arial" w:hAnsi="Arial"/>
                <w:b/>
                <w:bCs/>
                <w:color w:val="6B7280"/>
                <w:sz w:val="22"/>
                <w:szCs w:val="22"/>
              </w:rPr>
              <w:t xml:space="preserve">Real-World Analogy</w:t>
            </w:r>
          </w:p>
          <w:p>
            <w:pPr>
              <w:spacing w:after="40" w:before="40"/>
            </w:pPr>
            <w:r>
              <w:rPr>
                <w:rFonts w:ascii="Arial" w:cs="Arial" w:eastAsia="Arial" w:hAnsi="Arial"/>
                <w:color w:val="111827"/>
                <w:sz w:val="20"/>
                <w:szCs w:val="20"/>
              </w:rPr>
              <w:t xml:space="preserve">Like calling a hotel to book a room and asking for 'The Grand' — but the hotel is officially named 'The Grand Hotel &amp; Spa'. The phone rings in an empty room because the switchboard doesn't recognise 'The Grand' as a valid room extension.</w:t>
            </w:r>
          </w:p>
        </w:tc>
      </w:tr>
    </w:tbl>
    <w:p>
      <w:pPr>
        <w:spacing w:after="0" w:before="160"/>
      </w:pPr>
    </w:p>
    <w:p>
      <w:pPr>
        <w:pStyle w:val="Heading3"/>
        <w:spacing w:after="100" w:before="240"/>
      </w:pPr>
      <w:r>
        <w:rPr>
          <w:rFonts w:ascii="Arial" w:cs="Arial" w:eastAsia="Arial" w:hAnsi="Arial"/>
          <w:b/>
          <w:bCs/>
          <w:color w:val="DC2626"/>
          <w:sz w:val="22"/>
          <w:szCs w:val="22"/>
        </w:rPr>
        <w:t xml:space="preserve">Issue 2: The Keyspace Paradox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40"/>
              <w:left w:type="dxa" w:w="200"/>
              <w:bottom w:type="dxa" w:w="140"/>
              <w:right w:type="dxa" w:w="200"/>
            </w:tcMar>
          </w:tcPr>
          <w:p>
            <w:pPr>
              <w:spacing w:after="100" w:before="80"/>
            </w:pPr>
            <w:r>
              <w:rPr>
                <w:rFonts w:ascii="Arial" w:cs="Arial" w:eastAsia="Arial" w:hAnsi="Arial"/>
                <w:b/>
                <w:bCs/>
                <w:color w:val="111827"/>
                <w:sz w:val="22"/>
                <w:szCs w:val="22"/>
              </w:rPr>
              <w:t xml:space="preserve">Category: </w:t>
            </w:r>
            <w:r>
              <w:rPr>
                <w:rFonts w:ascii="Arial" w:cs="Arial" w:eastAsia="Arial" w:hAnsi="Arial"/>
                <w:color w:val="111827"/>
                <w:sz w:val="22"/>
                <w:szCs w:val="22"/>
              </w:rPr>
              <w:t xml:space="preserve">Chicken-and-Egg Initialisation Problem</w:t>
            </w:r>
          </w:p>
          <w:p>
            <w:pPr>
              <w:spacing w:after="100" w:before="80"/>
            </w:pPr>
            <w:r>
              <w:rPr>
                <w:rFonts w:ascii="Arial" w:cs="Arial" w:eastAsia="Arial" w:hAnsi="Arial"/>
                <w:b/>
                <w:bCs/>
                <w:color w:val="111827"/>
                <w:sz w:val="22"/>
                <w:szCs w:val="22"/>
              </w:rPr>
              <w:t xml:space="preserve">Error: </w:t>
            </w:r>
            <w:r>
              <w:rPr>
                <w:rFonts w:ascii="Arial" w:cs="Arial" w:eastAsia="Arial" w:hAnsi="Arial"/>
                <w:color w:val="111827"/>
                <w:sz w:val="22"/>
                <w:szCs w:val="22"/>
              </w:rPr>
              <w:t xml:space="preserve">Spring Boot crashed on startup because the iot_telemetry keyspace did not exist — but Spring Boot was supposed to create the schema.</w:t>
            </w:r>
          </w:p>
          <w:p>
            <w:pPr>
              <w:spacing w:after="100" w:before="80"/>
            </w:pPr>
            <w:r>
              <w:rPr>
                <w:rFonts w:ascii="Arial" w:cs="Arial" w:eastAsia="Arial" w:hAnsi="Arial"/>
                <w:b/>
                <w:bCs/>
                <w:color w:val="111827"/>
                <w:sz w:val="22"/>
                <w:szCs w:val="22"/>
              </w:rPr>
              <w:t xml:space="preserve">Root Cause: </w:t>
            </w:r>
            <w:r>
              <w:rPr>
                <w:rFonts w:ascii="Arial" w:cs="Arial" w:eastAsia="Arial" w:hAnsi="Arial"/>
                <w:color w:val="111827"/>
                <w:sz w:val="22"/>
                <w:szCs w:val="22"/>
              </w:rPr>
              <w:t xml:space="preserve">Spring Boot's schema auto-creation can create tables inside a keyspace, but it cannot create the keyspace itself. A keyspace in Cassandra is like a database in MySQL — it must exist before you can create tables in it.</w:t>
            </w:r>
          </w:p>
          <w:p>
            <w:pPr>
              <w:spacing w:after="100" w:before="80"/>
            </w:pPr>
            <w:r>
              <w:rPr>
                <w:rFonts w:ascii="Arial" w:cs="Arial" w:eastAsia="Arial" w:hAnsi="Arial"/>
                <w:b/>
                <w:bCs/>
                <w:color w:val="111827"/>
                <w:sz w:val="22"/>
                <w:szCs w:val="22"/>
              </w:rPr>
              <w:t xml:space="preserve">Fix: </w:t>
            </w:r>
            <w:r>
              <w:rPr>
                <w:rFonts w:ascii="Arial" w:cs="Arial" w:eastAsia="Arial" w:hAnsi="Arial"/>
                <w:color w:val="111827"/>
                <w:sz w:val="22"/>
                <w:szCs w:val="22"/>
              </w:rPr>
              <w:t xml:space="preserve">Manually connected to the Cassandra container via 'docker exec -it cassandra cqlsh' and ran 'CREATE KEYSPACE iot_telemetry WITH replication ...' before starting Spring Boot.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40"/>
              <w:left w:type="dxa" w:w="200"/>
              <w:bottom w:type="dxa" w:w="140"/>
              <w:right w:type="dxa" w:w="200"/>
            </w:tcMar>
          </w:tcPr>
          <w:p>
            <w:pPr>
              <w:spacing w:after="80" w:before="60"/>
            </w:pPr>
            <w:r>
              <w:rPr>
                <w:rFonts w:ascii="Arial" w:cs="Arial" w:eastAsia="Arial" w:hAnsi="Arial"/>
                <w:b/>
                <w:bCs/>
                <w:color w:val="6B7280"/>
                <w:sz w:val="22"/>
                <w:szCs w:val="22"/>
              </w:rPr>
              <w:t xml:space="preserve">Real-World Analogy</w:t>
            </w:r>
          </w:p>
          <w:p>
            <w:pPr>
              <w:spacing w:after="40" w:before="40"/>
            </w:pPr>
            <w:r>
              <w:rPr>
                <w:rFonts w:ascii="Arial" w:cs="Arial" w:eastAsia="Arial" w:hAnsi="Arial"/>
                <w:color w:val="111827"/>
                <w:sz w:val="20"/>
                <w:szCs w:val="20"/>
              </w:rPr>
              <w:t xml:space="preserve">Like trying to file a document in a folder that doesn't exist yet. The filing system can create new sub-folders, but someone has to create the top-level cabinet first.</w:t>
            </w:r>
          </w:p>
        </w:tc>
      </w:tr>
    </w:tbl>
    <w:p>
      <w:pPr>
        <w:spacing w:after="0" w:before="160"/>
      </w:pPr>
    </w:p>
    <w:p>
      <w:pPr>
        <w:pStyle w:val="Heading3"/>
        <w:spacing w:after="100" w:before="240"/>
      </w:pPr>
      <w:r>
        <w:rPr>
          <w:rFonts w:ascii="Arial" w:cs="Arial" w:eastAsia="Arial" w:hAnsi="Arial"/>
          <w:b/>
          <w:bCs/>
          <w:color w:val="DC2626"/>
          <w:sz w:val="22"/>
          <w:szCs w:val="22"/>
        </w:rPr>
        <w:t xml:space="preserve">Issue 3: Credential Path Confusion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40"/>
              <w:left w:type="dxa" w:w="200"/>
              <w:bottom w:type="dxa" w:w="140"/>
              <w:right w:type="dxa" w:w="200"/>
            </w:tcMar>
          </w:tcPr>
          <w:p>
            <w:pPr>
              <w:spacing w:after="100" w:before="80"/>
            </w:pPr>
            <w:r>
              <w:rPr>
                <w:rFonts w:ascii="Arial" w:cs="Arial" w:eastAsia="Arial" w:hAnsi="Arial"/>
                <w:b/>
                <w:bCs/>
                <w:color w:val="111827"/>
                <w:sz w:val="22"/>
                <w:szCs w:val="22"/>
              </w:rPr>
              <w:t xml:space="preserve">Category: </w:t>
            </w:r>
            <w:r>
              <w:rPr>
                <w:rFonts w:ascii="Arial" w:cs="Arial" w:eastAsia="Arial" w:hAnsi="Arial"/>
                <w:color w:val="111827"/>
                <w:sz w:val="22"/>
                <w:szCs w:val="22"/>
              </w:rPr>
              <w:t xml:space="preserve">Relative Path Resolution</w:t>
            </w:r>
          </w:p>
          <w:p>
            <w:pPr>
              <w:spacing w:after="100" w:before="80"/>
            </w:pPr>
            <w:r>
              <w:rPr>
                <w:rFonts w:ascii="Arial" w:cs="Arial" w:eastAsia="Arial" w:hAnsi="Arial"/>
                <w:b/>
                <w:bCs/>
                <w:color w:val="111827"/>
                <w:sz w:val="22"/>
                <w:szCs w:val="22"/>
              </w:rPr>
              <w:t xml:space="preserve">Error: </w:t>
            </w:r>
            <w:r>
              <w:rPr>
                <w:rFonts w:ascii="Arial" w:cs="Arial" w:eastAsia="Arial" w:hAnsi="Arial"/>
                <w:color w:val="111827"/>
                <w:sz w:val="22"/>
                <w:szCs w:val="22"/>
              </w:rPr>
              <w:t xml:space="preserve">GCP credentials JSON file was 'not found' despite existing on disk.</w:t>
            </w:r>
          </w:p>
          <w:p>
            <w:pPr>
              <w:spacing w:after="100" w:before="80"/>
            </w:pPr>
            <w:r>
              <w:rPr>
                <w:rFonts w:ascii="Arial" w:cs="Arial" w:eastAsia="Arial" w:hAnsi="Arial"/>
                <w:b/>
                <w:bCs/>
                <w:color w:val="111827"/>
                <w:sz w:val="22"/>
                <w:szCs w:val="22"/>
              </w:rPr>
              <w:t xml:space="preserve">Root Cause: </w:t>
            </w:r>
            <w:r>
              <w:rPr>
                <w:rFonts w:ascii="Arial" w:cs="Arial" w:eastAsia="Arial" w:hAnsi="Arial"/>
                <w:color w:val="111827"/>
                <w:sz w:val="22"/>
                <w:szCs w:val="22"/>
              </w:rPr>
              <w:t xml:space="preserve">Relative paths like '../credentials.json' are resolved relative to the current working directory — which changes depending on whether you run the app from the project root or from the backend/ subfolder.</w:t>
            </w:r>
          </w:p>
          <w:p>
            <w:pPr>
              <w:spacing w:after="100" w:before="80"/>
            </w:pPr>
            <w:r>
              <w:rPr>
                <w:rFonts w:ascii="Arial" w:cs="Arial" w:eastAsia="Arial" w:hAnsi="Arial"/>
                <w:b/>
                <w:bCs/>
                <w:color w:val="111827"/>
                <w:sz w:val="22"/>
                <w:szCs w:val="22"/>
              </w:rPr>
              <w:t xml:space="preserve">Fix: </w:t>
            </w:r>
            <w:r>
              <w:rPr>
                <w:rFonts w:ascii="Arial" w:cs="Arial" w:eastAsia="Arial" w:hAnsi="Arial"/>
                <w:color w:val="111827"/>
                <w:sz w:val="22"/>
                <w:szCs w:val="22"/>
              </w:rPr>
              <w:t xml:space="preserve">Changed the path to '../../credentials.json' so that it resolves correctly when launched from the backend/ folder. Alternatively, an absolute path or an environment variable would be more robust long-term.</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40"/>
              <w:left w:type="dxa" w:w="200"/>
              <w:bottom w:type="dxa" w:w="140"/>
              <w:right w:type="dxa" w:w="200"/>
            </w:tcMar>
          </w:tcPr>
          <w:p>
            <w:pPr>
              <w:spacing w:after="80" w:before="60"/>
            </w:pPr>
            <w:r>
              <w:rPr>
                <w:rFonts w:ascii="Arial" w:cs="Arial" w:eastAsia="Arial" w:hAnsi="Arial"/>
                <w:b/>
                <w:bCs/>
                <w:color w:val="6B7280"/>
                <w:sz w:val="22"/>
                <w:szCs w:val="22"/>
              </w:rPr>
              <w:t xml:space="preserve">Real-World Analogy</w:t>
            </w:r>
          </w:p>
          <w:p>
            <w:pPr>
              <w:spacing w:after="40" w:before="40"/>
            </w:pPr>
            <w:r>
              <w:rPr>
                <w:rFonts w:ascii="Arial" w:cs="Arial" w:eastAsia="Arial" w:hAnsi="Arial"/>
                <w:color w:val="111827"/>
                <w:sz w:val="20"/>
                <w:szCs w:val="20"/>
              </w:rPr>
              <w:t xml:space="preserve">Like giving someone directions: 'Turn left at the bakery' only works if you both start from the same location. If they start a block away, they'll turn left at the wrong place entirely.</w:t>
            </w:r>
          </w:p>
        </w:tc>
      </w:tr>
    </w:tbl>
    <w:p>
      <w:pPr>
        <w:spacing w:after="0" w:before="200"/>
      </w:pPr>
    </w:p>
    <w:p>
      <w:pPr>
        <w:pStyle w:val="Heading2"/>
        <w:spacing w:after="120" w:before="300"/>
      </w:pPr>
      <w:r>
        <w:rPr>
          <w:rFonts w:ascii="Arial" w:cs="Arial" w:eastAsia="Arial" w:hAnsi="Arial"/>
          <w:b/>
          <w:bCs/>
          <w:color w:val="2563EB"/>
          <w:sz w:val="26"/>
          <w:szCs w:val="26"/>
        </w:rPr>
        <w:t xml:space="preserve">4.2  Google Cloud Configuration Issues</w:t>
      </w:r>
    </w:p>
    <w:p>
      <w:pPr>
        <w:pStyle w:val="Heading3"/>
        <w:spacing w:after="100" w:before="240"/>
      </w:pPr>
      <w:r>
        <w:rPr>
          <w:rFonts w:ascii="Arial" w:cs="Arial" w:eastAsia="Arial" w:hAnsi="Arial"/>
          <w:b/>
          <w:bCs/>
          <w:color w:val="DC2626"/>
          <w:sz w:val="22"/>
          <w:szCs w:val="22"/>
        </w:rPr>
        <w:t xml:space="preserve">Issue 4: IAM Permission Denied (Double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40"/>
              <w:left w:type="dxa" w:w="200"/>
              <w:bottom w:type="dxa" w:w="140"/>
              <w:right w:type="dxa" w:w="200"/>
            </w:tcMar>
          </w:tcPr>
          <w:p>
            <w:pPr>
              <w:spacing w:after="100" w:before="80"/>
            </w:pPr>
            <w:r>
              <w:rPr>
                <w:rFonts w:ascii="Arial" w:cs="Arial" w:eastAsia="Arial" w:hAnsi="Arial"/>
                <w:b/>
                <w:bCs/>
                <w:color w:val="111827"/>
                <w:sz w:val="22"/>
                <w:szCs w:val="22"/>
              </w:rPr>
              <w:t xml:space="preserve">Category: </w:t>
            </w:r>
            <w:r>
              <w:rPr>
                <w:rFonts w:ascii="Arial" w:cs="Arial" w:eastAsia="Arial" w:hAnsi="Arial"/>
                <w:color w:val="111827"/>
                <w:sz w:val="22"/>
                <w:szCs w:val="22"/>
              </w:rPr>
              <w:t xml:space="preserve">Identity &amp; Access Management (IAM)</w:t>
            </w:r>
          </w:p>
          <w:p>
            <w:pPr>
              <w:spacing w:after="100" w:before="80"/>
            </w:pPr>
            <w:r>
              <w:rPr>
                <w:rFonts w:ascii="Arial" w:cs="Arial" w:eastAsia="Arial" w:hAnsi="Arial"/>
                <w:b/>
                <w:bCs/>
                <w:color w:val="111827"/>
                <w:sz w:val="22"/>
                <w:szCs w:val="22"/>
              </w:rPr>
              <w:t xml:space="preserve">Error: </w:t>
            </w:r>
            <w:r>
              <w:rPr>
                <w:rFonts w:ascii="Arial" w:cs="Arial" w:eastAsia="Arial" w:hAnsi="Arial"/>
                <w:color w:val="111827"/>
                <w:sz w:val="22"/>
                <w:szCs w:val="22"/>
              </w:rPr>
              <w:t xml:space="preserve">PERMISSION_DENIED encountered twice — first when the Python simulator tried to publish to Pub/Sub, and again when Spring Boot tried to pull messages.</w:t>
            </w:r>
          </w:p>
          <w:p>
            <w:pPr>
              <w:spacing w:after="100" w:before="80"/>
            </w:pPr>
            <w:r>
              <w:rPr>
                <w:rFonts w:ascii="Arial" w:cs="Arial" w:eastAsia="Arial" w:hAnsi="Arial"/>
                <w:b/>
                <w:bCs/>
                <w:color w:val="111827"/>
                <w:sz w:val="22"/>
                <w:szCs w:val="22"/>
              </w:rPr>
              <w:t xml:space="preserve">Root Cause: </w:t>
            </w:r>
            <w:r>
              <w:rPr>
                <w:rFonts w:ascii="Arial" w:cs="Arial" w:eastAsia="Arial" w:hAnsi="Arial"/>
                <w:color w:val="111827"/>
                <w:sz w:val="22"/>
                <w:szCs w:val="22"/>
              </w:rPr>
              <w:t xml:space="preserve">GCP's IAM is additive and explicit. A service account has zero permissions by default. Publish and Subscribe are separate operations requiring separate IAM roles.</w:t>
            </w:r>
          </w:p>
          <w:p>
            <w:pPr>
              <w:spacing w:after="100" w:before="80"/>
            </w:pPr>
            <w:r>
              <w:rPr>
                <w:rFonts w:ascii="Arial" w:cs="Arial" w:eastAsia="Arial" w:hAnsi="Arial"/>
                <w:b/>
                <w:bCs/>
                <w:color w:val="111827"/>
                <w:sz w:val="22"/>
                <w:szCs w:val="22"/>
              </w:rPr>
              <w:t xml:space="preserve">Fix: </w:t>
            </w:r>
            <w:r>
              <w:rPr>
                <w:rFonts w:ascii="Arial" w:cs="Arial" w:eastAsia="Arial" w:hAnsi="Arial"/>
                <w:color w:val="111827"/>
                <w:sz w:val="22"/>
                <w:szCs w:val="22"/>
              </w:rPr>
              <w:t xml:space="preserve">Granted 'Pub/Sub Editor' (for publishing) and 'Pub/Sub Subscriber' (for pulling) roles to the service account in the GCP IAM console.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40"/>
              <w:left w:type="dxa" w:w="200"/>
              <w:bottom w:type="dxa" w:w="140"/>
              <w:right w:type="dxa" w:w="200"/>
            </w:tcMar>
          </w:tcPr>
          <w:p>
            <w:pPr>
              <w:spacing w:after="80" w:before="60"/>
            </w:pPr>
            <w:r>
              <w:rPr>
                <w:rFonts w:ascii="Arial" w:cs="Arial" w:eastAsia="Arial" w:hAnsi="Arial"/>
                <w:b/>
                <w:bCs/>
                <w:color w:val="6B7280"/>
                <w:sz w:val="22"/>
                <w:szCs w:val="22"/>
              </w:rPr>
              <w:t xml:space="preserve">Real-World Analogy</w:t>
            </w:r>
          </w:p>
          <w:p>
            <w:pPr>
              <w:spacing w:after="40" w:before="40"/>
            </w:pPr>
            <w:r>
              <w:rPr>
                <w:rFonts w:ascii="Arial" w:cs="Arial" w:eastAsia="Arial" w:hAnsi="Arial"/>
                <w:color w:val="111827"/>
                <w:sz w:val="20"/>
                <w:szCs w:val="20"/>
              </w:rPr>
              <w:t xml:space="preserve">Like a building with two separate locks: one for entering and one for leaving. Having a key to the front door doesn't automatically mean you can exit through the back. You need to be issued both keys explicitly.</w:t>
            </w:r>
          </w:p>
        </w:tc>
      </w:tr>
    </w:tbl>
    <w:p>
      <w:pPr>
        <w:spacing w:after="0" w:before="160"/>
      </w:pPr>
    </w:p>
    <w:p>
      <w:pPr>
        <w:pStyle w:val="Heading3"/>
        <w:spacing w:after="100" w:before="240"/>
      </w:pPr>
      <w:r>
        <w:rPr>
          <w:rFonts w:ascii="Arial" w:cs="Arial" w:eastAsia="Arial" w:hAnsi="Arial"/>
          <w:b/>
          <w:bCs/>
          <w:color w:val="DC2626"/>
          <w:sz w:val="22"/>
          <w:szCs w:val="22"/>
        </w:rPr>
        <w:t xml:space="preserve">Issue 5: BigQuery Ghost 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40"/>
              <w:left w:type="dxa" w:w="200"/>
              <w:bottom w:type="dxa" w:w="140"/>
              <w:right w:type="dxa" w:w="200"/>
            </w:tcMar>
          </w:tcPr>
          <w:p>
            <w:pPr>
              <w:spacing w:after="100" w:before="80"/>
            </w:pPr>
            <w:r>
              <w:rPr>
                <w:rFonts w:ascii="Arial" w:cs="Arial" w:eastAsia="Arial" w:hAnsi="Arial"/>
                <w:b/>
                <w:bCs/>
                <w:color w:val="111827"/>
                <w:sz w:val="22"/>
                <w:szCs w:val="22"/>
              </w:rPr>
              <w:t xml:space="preserve">Category: </w:t>
            </w:r>
            <w:r>
              <w:rPr>
                <w:rFonts w:ascii="Arial" w:cs="Arial" w:eastAsia="Arial" w:hAnsi="Arial"/>
                <w:color w:val="111827"/>
                <w:sz w:val="22"/>
                <w:szCs w:val="22"/>
              </w:rPr>
              <w:t xml:space="preserve">GCP Service Account Permissions + Schema Mapping</w:t>
            </w:r>
          </w:p>
          <w:p>
            <w:pPr>
              <w:spacing w:after="100" w:before="80"/>
            </w:pPr>
            <w:r>
              <w:rPr>
                <w:rFonts w:ascii="Arial" w:cs="Arial" w:eastAsia="Arial" w:hAnsi="Arial"/>
                <w:b/>
                <w:bCs/>
                <w:color w:val="111827"/>
                <w:sz w:val="22"/>
                <w:szCs w:val="22"/>
              </w:rPr>
              <w:t xml:space="preserve">Error: </w:t>
            </w:r>
            <w:r>
              <w:rPr>
                <w:rFonts w:ascii="Arial" w:cs="Arial" w:eastAsia="Arial" w:hAnsi="Arial"/>
                <w:color w:val="111827"/>
                <w:sz w:val="22"/>
                <w:szCs w:val="22"/>
              </w:rPr>
              <w:t xml:space="preserve">Data was confirmed flowing through Pub/Sub but BigQuery tables remained empty.</w:t>
            </w:r>
          </w:p>
          <w:p>
            <w:pPr>
              <w:spacing w:after="100" w:before="80"/>
            </w:pPr>
            <w:r>
              <w:rPr>
                <w:rFonts w:ascii="Arial" w:cs="Arial" w:eastAsia="Arial" w:hAnsi="Arial"/>
                <w:b/>
                <w:bCs/>
                <w:color w:val="111827"/>
                <w:sz w:val="22"/>
                <w:szCs w:val="22"/>
              </w:rPr>
              <w:t xml:space="preserve">Root Cause: </w:t>
            </w:r>
            <w:r>
              <w:rPr>
                <w:rFonts w:ascii="Arial" w:cs="Arial" w:eastAsia="Arial" w:hAnsi="Arial"/>
                <w:color w:val="111827"/>
                <w:sz w:val="22"/>
                <w:szCs w:val="22"/>
              </w:rPr>
              <w:t xml:space="preserve">Two separate issues combined: (1) The Pub/Sub service agent (an internal GCP robot account, distinct from our service account) was missing the 'BigQuery Data Editor' role. (2) The BigQuery subscription was not configured to map JSON message keys to table columns — it was receiving raw bytes and discarding them silently.</w:t>
            </w:r>
          </w:p>
          <w:p>
            <w:pPr>
              <w:spacing w:after="100" w:before="80"/>
            </w:pPr>
            <w:r>
              <w:rPr>
                <w:rFonts w:ascii="Arial" w:cs="Arial" w:eastAsia="Arial" w:hAnsi="Arial"/>
                <w:b/>
                <w:bCs/>
                <w:color w:val="111827"/>
                <w:sz w:val="22"/>
                <w:szCs w:val="22"/>
              </w:rPr>
              <w:t xml:space="preserve">Fix: </w:t>
            </w:r>
            <w:r>
              <w:rPr>
                <w:rFonts w:ascii="Arial" w:cs="Arial" w:eastAsia="Arial" w:hAnsi="Arial"/>
                <w:color w:val="111827"/>
                <w:sz w:val="22"/>
                <w:szCs w:val="22"/>
              </w:rPr>
              <w:t xml:space="preserve">Granted BigQuery Data Editor to the Pub/Sub service agent (pubsub-[project-number]@gcp-sa-pubsub.iam.gserviceaccount.com) and enabled 'Use topic schema' in the subscription settings.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40"/>
              <w:left w:type="dxa" w:w="200"/>
              <w:bottom w:type="dxa" w:w="140"/>
              <w:right w:type="dxa" w:w="200"/>
            </w:tcMar>
          </w:tcPr>
          <w:p>
            <w:pPr>
              <w:spacing w:after="80" w:before="60"/>
            </w:pPr>
            <w:r>
              <w:rPr>
                <w:rFonts w:ascii="Arial" w:cs="Arial" w:eastAsia="Arial" w:hAnsi="Arial"/>
                <w:b/>
                <w:bCs/>
                <w:color w:val="6B7280"/>
                <w:sz w:val="22"/>
                <w:szCs w:val="22"/>
              </w:rPr>
              <w:t xml:space="preserve">Real-World Analogy</w:t>
            </w:r>
          </w:p>
          <w:p>
            <w:pPr>
              <w:spacing w:after="40" w:before="40"/>
            </w:pPr>
            <w:r>
              <w:rPr>
                <w:rFonts w:ascii="Arial" w:cs="Arial" w:eastAsia="Arial" w:hAnsi="Arial"/>
                <w:color w:val="111827"/>
                <w:sz w:val="20"/>
                <w:szCs w:val="20"/>
              </w:rPr>
              <w:t xml:space="preserve">Like a vending machine that accepts your coins (messages arriving) but the internal conveyor (service agent) doesn't have clearance to access the snack shelf (BigQuery), so it just pockets your money and does nothing. And even if it had clearance, it still needed the right label to know which shelf to put the snack on.</w:t>
            </w:r>
          </w:p>
        </w:tc>
      </w:tr>
    </w:tbl>
    <w:p>
      <w:pPr>
        <w:spacing w:after="0" w:before="200"/>
      </w:pPr>
    </w:p>
    <w:p>
      <w:pPr>
        <w:pStyle w:val="Heading2"/>
        <w:spacing w:after="120" w:before="300"/>
      </w:pPr>
      <w:r>
        <w:rPr>
          <w:rFonts w:ascii="Arial" w:cs="Arial" w:eastAsia="Arial" w:hAnsi="Arial"/>
          <w:b/>
          <w:bCs/>
          <w:color w:val="2563EB"/>
          <w:sz w:val="26"/>
          <w:szCs w:val="26"/>
        </w:rPr>
        <w:t xml:space="preserve">4.3  Serverless &amp; Code Issues</w:t>
      </w:r>
    </w:p>
    <w:p>
      <w:pPr>
        <w:pStyle w:val="Heading3"/>
        <w:spacing w:after="100" w:before="240"/>
      </w:pPr>
      <w:r>
        <w:rPr>
          <w:rFonts w:ascii="Arial" w:cs="Arial" w:eastAsia="Arial" w:hAnsi="Arial"/>
          <w:b/>
          <w:bCs/>
          <w:color w:val="DC2626"/>
          <w:sz w:val="22"/>
          <w:szCs w:val="22"/>
        </w:rPr>
        <w:t xml:space="preserve">Issue 6: Cloud Function Gen1 vs Gen2 Crash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40"/>
              <w:left w:type="dxa" w:w="200"/>
              <w:bottom w:type="dxa" w:w="140"/>
              <w:right w:type="dxa" w:w="200"/>
            </w:tcMar>
          </w:tcPr>
          <w:p>
            <w:pPr>
              <w:spacing w:after="100" w:before="80"/>
            </w:pPr>
            <w:r>
              <w:rPr>
                <w:rFonts w:ascii="Arial" w:cs="Arial" w:eastAsia="Arial" w:hAnsi="Arial"/>
                <w:b/>
                <w:bCs/>
                <w:color w:val="111827"/>
                <w:sz w:val="22"/>
                <w:szCs w:val="22"/>
              </w:rPr>
              <w:t xml:space="preserve">Category: </w:t>
            </w:r>
            <w:r>
              <w:rPr>
                <w:rFonts w:ascii="Arial" w:cs="Arial" w:eastAsia="Arial" w:hAnsi="Arial"/>
                <w:color w:val="111827"/>
                <w:sz w:val="22"/>
                <w:szCs w:val="22"/>
              </w:rPr>
              <w:t xml:space="preserve">API Evolution / Breaking Change</w:t>
            </w:r>
          </w:p>
          <w:p>
            <w:pPr>
              <w:spacing w:after="100" w:before="80"/>
            </w:pPr>
            <w:r>
              <w:rPr>
                <w:rFonts w:ascii="Arial" w:cs="Arial" w:eastAsia="Arial" w:hAnsi="Arial"/>
                <w:b/>
                <w:bCs/>
                <w:color w:val="111827"/>
                <w:sz w:val="22"/>
                <w:szCs w:val="22"/>
              </w:rPr>
              <w:t xml:space="preserve">Error: </w:t>
            </w:r>
            <w:r>
              <w:rPr>
                <w:rFonts w:ascii="Arial" w:cs="Arial" w:eastAsia="Arial" w:hAnsi="Arial"/>
                <w:color w:val="111827"/>
                <w:sz w:val="22"/>
                <w:szCs w:val="22"/>
              </w:rPr>
              <w:t xml:space="preserve">TypeError in Cloud Function on every invocation.</w:t>
            </w:r>
          </w:p>
          <w:p>
            <w:pPr>
              <w:spacing w:after="100" w:before="80"/>
            </w:pPr>
            <w:r>
              <w:rPr>
                <w:rFonts w:ascii="Arial" w:cs="Arial" w:eastAsia="Arial" w:hAnsi="Arial"/>
                <w:b/>
                <w:bCs/>
                <w:color w:val="111827"/>
                <w:sz w:val="22"/>
                <w:szCs w:val="22"/>
              </w:rPr>
              <w:t xml:space="preserve">Root Cause: </w:t>
            </w:r>
            <w:r>
              <w:rPr>
                <w:rFonts w:ascii="Arial" w:cs="Arial" w:eastAsia="Arial" w:hAnsi="Arial"/>
                <w:color w:val="111827"/>
                <w:sz w:val="22"/>
                <w:szCs w:val="22"/>
              </w:rPr>
              <w:t xml:space="preserve">Google Cloud Functions Gen 1 passes a raw (event, context) tuple to the function. Gen 2 wraps everything in a CloudEvent object and passes it as a single argument. Code written for Gen 1 crashes immediately when deployed as Gen 2.</w:t>
            </w:r>
          </w:p>
          <w:p>
            <w:pPr>
              <w:spacing w:after="100" w:before="80"/>
            </w:pPr>
            <w:r>
              <w:rPr>
                <w:rFonts w:ascii="Arial" w:cs="Arial" w:eastAsia="Arial" w:hAnsi="Arial"/>
                <w:b/>
                <w:bCs/>
                <w:color w:val="111827"/>
                <w:sz w:val="22"/>
                <w:szCs w:val="22"/>
              </w:rPr>
              <w:t xml:space="preserve">Fix: </w:t>
            </w:r>
            <w:r>
              <w:rPr>
                <w:rFonts w:ascii="Arial" w:cs="Arial" w:eastAsia="Arial" w:hAnsi="Arial"/>
                <w:color w:val="111827"/>
                <w:sz w:val="22"/>
                <w:szCs w:val="22"/>
              </w:rPr>
              <w:t xml:space="preserve">Rewrote the function entry point using the @functions_framework.cloud_event decorator, which correctly unwraps the CloudEvent object and makes the Pub/Sub message payload accessible.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40"/>
              <w:left w:type="dxa" w:w="200"/>
              <w:bottom w:type="dxa" w:w="140"/>
              <w:right w:type="dxa" w:w="200"/>
            </w:tcMar>
          </w:tcPr>
          <w:p>
            <w:pPr>
              <w:spacing w:after="80" w:before="60"/>
            </w:pPr>
            <w:r>
              <w:rPr>
                <w:rFonts w:ascii="Arial" w:cs="Arial" w:eastAsia="Arial" w:hAnsi="Arial"/>
                <w:b/>
                <w:bCs/>
                <w:color w:val="6B7280"/>
                <w:sz w:val="22"/>
                <w:szCs w:val="22"/>
              </w:rPr>
              <w:t xml:space="preserve">Real-World Analogy</w:t>
            </w:r>
          </w:p>
          <w:p>
            <w:pPr>
              <w:spacing w:after="40" w:before="40"/>
            </w:pPr>
            <w:r>
              <w:rPr>
                <w:rFonts w:ascii="Arial" w:cs="Arial" w:eastAsia="Arial" w:hAnsi="Arial"/>
                <w:color w:val="111827"/>
                <w:sz w:val="20"/>
                <w:szCs w:val="20"/>
              </w:rPr>
              <w:t xml:space="preserve">Like upgrading from an old phone charger port (Micro-USB) to a new one (USB-C). The cable (your code) is perfectly fine — but it no longer fits the socket without an adapter (the new decorator).</w:t>
            </w:r>
          </w:p>
        </w:tc>
      </w:tr>
    </w:tbl>
    <w:p>
      <w:pPr>
        <w:spacing w:after="0" w:before="160"/>
      </w:pPr>
    </w:p>
    <w:p>
      <w:pPr>
        <w:pStyle w:val="Heading3"/>
        <w:spacing w:after="100" w:before="240"/>
      </w:pPr>
      <w:r>
        <w:rPr>
          <w:rFonts w:ascii="Arial" w:cs="Arial" w:eastAsia="Arial" w:hAnsi="Arial"/>
          <w:b/>
          <w:bCs/>
          <w:color w:val="DC2626"/>
          <w:sz w:val="22"/>
          <w:szCs w:val="22"/>
        </w:rPr>
        <w:t xml:space="preserve">Issue 7: Gmail SMTP Authentication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40"/>
              <w:left w:type="dxa" w:w="200"/>
              <w:bottom w:type="dxa" w:w="140"/>
              <w:right w:type="dxa" w:w="200"/>
            </w:tcMar>
          </w:tcPr>
          <w:p>
            <w:pPr>
              <w:spacing w:after="100" w:before="80"/>
            </w:pPr>
            <w:r>
              <w:rPr>
                <w:rFonts w:ascii="Arial" w:cs="Arial" w:eastAsia="Arial" w:hAnsi="Arial"/>
                <w:b/>
                <w:bCs/>
                <w:color w:val="111827"/>
                <w:sz w:val="22"/>
                <w:szCs w:val="22"/>
              </w:rPr>
              <w:t xml:space="preserve">Category: </w:t>
            </w:r>
            <w:r>
              <w:rPr>
                <w:rFonts w:ascii="Arial" w:cs="Arial" w:eastAsia="Arial" w:hAnsi="Arial"/>
                <w:color w:val="111827"/>
                <w:sz w:val="22"/>
                <w:szCs w:val="22"/>
              </w:rPr>
              <w:t xml:space="preserve">Security Policy / Authentication</w:t>
            </w:r>
          </w:p>
          <w:p>
            <w:pPr>
              <w:spacing w:after="100" w:before="80"/>
            </w:pPr>
            <w:r>
              <w:rPr>
                <w:rFonts w:ascii="Arial" w:cs="Arial" w:eastAsia="Arial" w:hAnsi="Arial"/>
                <w:b/>
                <w:bCs/>
                <w:color w:val="111827"/>
                <w:sz w:val="22"/>
                <w:szCs w:val="22"/>
              </w:rPr>
              <w:t xml:space="preserve">Error: </w:t>
            </w:r>
            <w:r>
              <w:rPr>
                <w:rFonts w:ascii="Arial" w:cs="Arial" w:eastAsia="Arial" w:hAnsi="Arial"/>
                <w:color w:val="111827"/>
                <w:sz w:val="22"/>
                <w:szCs w:val="22"/>
              </w:rPr>
              <w:t xml:space="preserve">Gmail rejected login attempts from the Cloud Function using a standard Google account password.</w:t>
            </w:r>
          </w:p>
          <w:p>
            <w:pPr>
              <w:spacing w:after="100" w:before="80"/>
            </w:pPr>
            <w:r>
              <w:rPr>
                <w:rFonts w:ascii="Arial" w:cs="Arial" w:eastAsia="Arial" w:hAnsi="Arial"/>
                <w:b/>
                <w:bCs/>
                <w:color w:val="111827"/>
                <w:sz w:val="22"/>
                <w:szCs w:val="22"/>
              </w:rPr>
              <w:t xml:space="preserve">Root Cause: </w:t>
            </w:r>
            <w:r>
              <w:rPr>
                <w:rFonts w:ascii="Arial" w:cs="Arial" w:eastAsia="Arial" w:hAnsi="Arial"/>
                <w:color w:val="111827"/>
                <w:sz w:val="22"/>
                <w:szCs w:val="22"/>
              </w:rPr>
              <w:t xml:space="preserve">Google disabled 'Less Secure App Access' in 2022. Standard passwords cannot be used programmatically via SMTP. Scripts must use App Passwords — 16-character tokens generated specifically for a single application.</w:t>
            </w:r>
          </w:p>
          <w:p>
            <w:pPr>
              <w:spacing w:after="100" w:before="80"/>
            </w:pPr>
            <w:r>
              <w:rPr>
                <w:rFonts w:ascii="Arial" w:cs="Arial" w:eastAsia="Arial" w:hAnsi="Arial"/>
                <w:b/>
                <w:bCs/>
                <w:color w:val="111827"/>
                <w:sz w:val="22"/>
                <w:szCs w:val="22"/>
              </w:rPr>
              <w:t xml:space="preserve">Fix: </w:t>
            </w:r>
            <w:r>
              <w:rPr>
                <w:rFonts w:ascii="Arial" w:cs="Arial" w:eastAsia="Arial" w:hAnsi="Arial"/>
                <w:color w:val="111827"/>
                <w:sz w:val="22"/>
                <w:szCs w:val="22"/>
              </w:rPr>
              <w:t xml:space="preserve">Generated an App Password in Google Account &gt; Security &gt; 2-Step Verification &gt; App passwords. Stored the token securely and used it in place of the regular password in the SMTP configuration.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40"/>
              <w:left w:type="dxa" w:w="200"/>
              <w:bottom w:type="dxa" w:w="140"/>
              <w:right w:type="dxa" w:w="200"/>
            </w:tcMar>
          </w:tcPr>
          <w:p>
            <w:pPr>
              <w:spacing w:after="80" w:before="60"/>
            </w:pPr>
            <w:r>
              <w:rPr>
                <w:rFonts w:ascii="Arial" w:cs="Arial" w:eastAsia="Arial" w:hAnsi="Arial"/>
                <w:b/>
                <w:bCs/>
                <w:color w:val="6B7280"/>
                <w:sz w:val="22"/>
                <w:szCs w:val="22"/>
              </w:rPr>
              <w:t xml:space="preserve">Real-World Analogy</w:t>
            </w:r>
          </w:p>
          <w:p>
            <w:pPr>
              <w:spacing w:after="40" w:before="40"/>
            </w:pPr>
            <w:r>
              <w:rPr>
                <w:rFonts w:ascii="Arial" w:cs="Arial" w:eastAsia="Arial" w:hAnsi="Arial"/>
                <w:color w:val="111827"/>
                <w:sz w:val="20"/>
                <w:szCs w:val="20"/>
              </w:rPr>
              <w:t xml:space="preserve">Like a building that stopped accepting skeleton keys (your main password works for humans but not machines). Instead, you request a single-purpose key card (App Password) that only opens the mail room door — limiting the blast radius if it is ever stolen.</w:t>
            </w:r>
          </w:p>
        </w:tc>
      </w:tr>
    </w:tbl>
    <w:p>
      <w:r>
        <w:br w:type="page"/>
      </w:r>
    </w:p>
    <w:p>
      <w:pPr>
        <w:pStyle w:val="Heading1"/>
        <w:pBdr>
          <w:bottom w:val="single" w:color="2563EB" w:sz="6" w:space="6"/>
        </w:pBdr>
        <w:spacing w:after="160" w:before="400"/>
      </w:pPr>
      <w:r>
        <w:rPr>
          <w:rFonts w:ascii="Arial" w:cs="Arial" w:eastAsia="Arial" w:hAnsi="Arial"/>
          <w:b/>
          <w:bCs/>
          <w:color w:val="1B3A5C"/>
          <w:sz w:val="32"/>
          <w:szCs w:val="32"/>
        </w:rPr>
        <w:t xml:space="preserve">5.  Grafana Integration — Enterprise Observability Layer</w:t>
      </w:r>
    </w:p>
    <w:p>
      <w:pPr>
        <w:spacing w:after="100" w:before="80"/>
      </w:pPr>
      <w:r>
        <w:rPr>
          <w:rFonts w:ascii="Arial" w:cs="Arial" w:eastAsia="Arial" w:hAnsi="Arial"/>
          <w:color w:val="111827"/>
          <w:sz w:val="22"/>
          <w:szCs w:val="22"/>
        </w:rPr>
        <w:t xml:space="preserve">Integrating Grafana wasn't just about spinning up a container. We turned it into a fully automated, enterprise-grade observability layer using Infrastructure as Code principles. Below is a full breakdown of every change made and the troubleshooting log for the setup.</w:t>
      </w:r>
    </w:p>
    <w:p>
      <w:pPr>
        <w:spacing w:after="0" w:before="120"/>
      </w:pPr>
    </w:p>
    <w:p>
      <w:pPr>
        <w:pStyle w:val="Heading2"/>
        <w:spacing w:after="120" w:before="300"/>
      </w:pPr>
      <w:r>
        <w:rPr>
          <w:rFonts w:ascii="Arial" w:cs="Arial" w:eastAsia="Arial" w:hAnsi="Arial"/>
          <w:b/>
          <w:bCs/>
          <w:color w:val="2563EB"/>
          <w:sz w:val="26"/>
          <w:szCs w:val="26"/>
        </w:rPr>
        <w:t xml:space="preserve">5.1  Part 1: The Implementation — What Changed</w:t>
      </w:r>
    </w:p>
    <w:p>
      <w:pPr>
        <w:pStyle w:val="Heading3"/>
        <w:spacing w:after="100" w:before="240"/>
      </w:pPr>
      <w:r>
        <w:rPr>
          <w:rFonts w:ascii="Arial" w:cs="Arial" w:eastAsia="Arial" w:hAnsi="Arial"/>
          <w:b/>
          <w:bCs/>
          <w:color w:val="1B3A5C"/>
          <w:sz w:val="22"/>
          <w:szCs w:val="22"/>
        </w:rPr>
        <w:t xml:space="preserve">5.1.1  Infrastructure (docker-compose.yml)</w:t>
      </w:r>
    </w:p>
    <w:p>
      <w:pPr>
        <w:spacing w:after="100" w:before="80"/>
      </w:pPr>
      <w:r>
        <w:rPr>
          <w:rFonts w:ascii="Arial" w:cs="Arial" w:eastAsia="Arial" w:hAnsi="Arial"/>
          <w:color w:val="111827"/>
          <w:sz w:val="22"/>
          <w:szCs w:val="22"/>
        </w:rPr>
        <w:t xml:space="preserve">We added the Grafana OSS service with three critical configurations:</w:t>
      </w:r>
    </w:p>
    <w:p>
      <w:pPr>
        <w:spacing w:after="0" w:before="60"/>
      </w:pPr>
    </w:p>
    <w:p>
      <w:pPr>
        <w:pStyle w:val="ListParagraph"/>
        <w:numPr>
          <w:ilvl w:val="0"/>
          <w:numId w:val="2"/>
        </w:numPr>
        <w:spacing w:after="60" w:before="60"/>
      </w:pPr>
      <w:r>
        <w:rPr>
          <w:rFonts w:ascii="Arial" w:cs="Arial" w:eastAsia="Arial" w:hAnsi="Arial"/>
          <w:color w:val="111827"/>
          <w:sz w:val="22"/>
          <w:szCs w:val="22"/>
        </w:rPr>
        <w:t xml:space="preserve">Auto-Plugin Install: Used GF_INSTALL_PLUGINS=grafana-bigquery-datasource so the BigQuery connector is available without any manual installation step.</w:t>
      </w:r>
    </w:p>
    <w:p>
      <w:pPr>
        <w:pStyle w:val="ListParagraph"/>
        <w:numPr>
          <w:ilvl w:val="0"/>
          <w:numId w:val="2"/>
        </w:numPr>
        <w:spacing w:after="60" w:before="60"/>
      </w:pPr>
      <w:r>
        <w:rPr>
          <w:rFonts w:ascii="Arial" w:cs="Arial" w:eastAsia="Arial" w:hAnsi="Arial"/>
          <w:color w:val="111827"/>
          <w:sz w:val="22"/>
          <w:szCs w:val="22"/>
        </w:rPr>
        <w:t xml:space="preserve">Persistence: Added a grafana-storage volume so dashboards survive container restarts and rebuilds.</w:t>
      </w:r>
    </w:p>
    <w:p>
      <w:pPr>
        <w:pStyle w:val="ListParagraph"/>
        <w:numPr>
          <w:ilvl w:val="0"/>
          <w:numId w:val="2"/>
        </w:numPr>
        <w:spacing w:after="60" w:before="60"/>
      </w:pPr>
      <w:r>
        <w:rPr>
          <w:rFonts w:ascii="Arial" w:cs="Arial" w:eastAsia="Arial" w:hAnsi="Arial"/>
          <w:color w:val="111827"/>
          <w:sz w:val="22"/>
          <w:szCs w:val="22"/>
        </w:rPr>
        <w:t xml:space="preserve">Secure Mounting: Mounted the GCP Service Account key folder as :ro (read-only) into the container so Grafana can authenticate with GCP without exposing write access to the key directory.</w:t>
      </w:r>
    </w:p>
    <w:p>
      <w:pPr>
        <w:spacing w:after="0" w:before="120"/>
      </w:pPr>
    </w:p>
    <w:p>
      <w:pPr>
        <w:pStyle w:val="Heading3"/>
        <w:spacing w:after="100" w:before="240"/>
      </w:pPr>
      <w:r>
        <w:rPr>
          <w:rFonts w:ascii="Arial" w:cs="Arial" w:eastAsia="Arial" w:hAnsi="Arial"/>
          <w:b/>
          <w:bCs/>
          <w:color w:val="1B3A5C"/>
          <w:sz w:val="22"/>
          <w:szCs w:val="22"/>
        </w:rPr>
        <w:t xml:space="preserve">5.1.2  Automated Provisioning (grafana/provisioning/)</w:t>
      </w:r>
    </w:p>
    <w:p>
      <w:pPr>
        <w:spacing w:after="100" w:before="80"/>
      </w:pPr>
      <w:r>
        <w:rPr>
          <w:rFonts w:ascii="Arial" w:cs="Arial" w:eastAsia="Arial" w:hAnsi="Arial"/>
          <w:color w:val="111827"/>
          <w:sz w:val="22"/>
          <w:szCs w:val="22"/>
        </w:rPr>
        <w:t xml:space="preserve">Instead of clicking 'Add Data Source' in the UI, we used Infrastructure as Code:</w:t>
      </w:r>
    </w:p>
    <w:p>
      <w:pPr>
        <w:spacing w:after="0" w:before="60"/>
      </w:pPr>
    </w:p>
    <w:p>
      <w:pPr>
        <w:pStyle w:val="ListParagraph"/>
        <w:numPr>
          <w:ilvl w:val="0"/>
          <w:numId w:val="2"/>
        </w:numPr>
        <w:spacing w:after="60" w:before="60"/>
      </w:pPr>
      <w:r>
        <w:rPr>
          <w:rFonts w:ascii="Arial" w:cs="Arial" w:eastAsia="Arial" w:hAnsi="Arial"/>
          <w:color w:val="111827"/>
          <w:sz w:val="22"/>
          <w:szCs w:val="22"/>
        </w:rPr>
        <w:t xml:space="preserve">Created bigquery.yml which tells Grafana: 'On startup, create a connection to the homegenie-prod project using this specific Service Account JSON.'</w:t>
      </w:r>
    </w:p>
    <w:p>
      <w:pPr>
        <w:pStyle w:val="ListParagraph"/>
        <w:numPr>
          <w:ilvl w:val="0"/>
          <w:numId w:val="2"/>
        </w:numPr>
        <w:spacing w:after="60" w:before="60"/>
      </w:pPr>
      <w:r>
        <w:rPr>
          <w:rFonts w:ascii="Arial" w:cs="Arial" w:eastAsia="Arial" w:hAnsi="Arial"/>
          <w:color w:val="111827"/>
          <w:sz w:val="22"/>
          <w:szCs w:val="22"/>
        </w:rPr>
        <w:t xml:space="preserve">This makes the setup fully portable — share the provisioning folder with any team member and their Grafana instance will work immediately with zero manual configuration.</w:t>
      </w:r>
    </w:p>
    <w:p>
      <w:pPr>
        <w:spacing w:after="0" w:before="120"/>
      </w:pPr>
    </w:p>
    <w:p>
      <w:pPr>
        <w:pStyle w:val="Heading3"/>
        <w:spacing w:after="100" w:before="240"/>
      </w:pPr>
      <w:r>
        <w:rPr>
          <w:rFonts w:ascii="Arial" w:cs="Arial" w:eastAsia="Arial" w:hAnsi="Arial"/>
          <w:b/>
          <w:bCs/>
          <w:color w:val="1B3A5C"/>
          <w:sz w:val="22"/>
          <w:szCs w:val="22"/>
        </w:rPr>
        <w:t xml:space="preserve">5.1.3  Data Schema Evolution (simulator.py &amp; BigQuery)</w:t>
      </w:r>
    </w:p>
    <w:p>
      <w:pPr>
        <w:spacing w:after="100" w:before="80"/>
      </w:pPr>
      <w:r>
        <w:rPr>
          <w:rFonts w:ascii="Arial" w:cs="Arial" w:eastAsia="Arial" w:hAnsi="Arial"/>
          <w:color w:val="111827"/>
          <w:sz w:val="22"/>
          <w:szCs w:val="22"/>
        </w:rPr>
        <w:t xml:space="preserve">Two schema changes were required to support real-time time-series visualisation in Grafana:</w:t>
      </w:r>
    </w:p>
    <w:p>
      <w:pPr>
        <w:spacing w:after="0" w:before="60"/>
      </w:pPr>
    </w:p>
    <w:p>
      <w:pPr>
        <w:pStyle w:val="ListParagraph"/>
        <w:numPr>
          <w:ilvl w:val="0"/>
          <w:numId w:val="2"/>
        </w:numPr>
        <w:spacing w:after="60" w:before="60"/>
      </w:pPr>
      <w:r>
        <w:rPr>
          <w:rFonts w:ascii="Arial" w:cs="Arial" w:eastAsia="Arial" w:hAnsi="Arial"/>
          <w:color w:val="111827"/>
          <w:sz w:val="22"/>
          <w:szCs w:val="22"/>
        </w:rPr>
        <w:t xml:space="preserve">Simulator: Updated the Python script to include a recordedAt timestamp field in every published message.</w:t>
      </w:r>
    </w:p>
    <w:p>
      <w:pPr>
        <w:pStyle w:val="ListParagraph"/>
        <w:numPr>
          <w:ilvl w:val="0"/>
          <w:numId w:val="2"/>
        </w:numPr>
        <w:spacing w:after="60" w:before="60"/>
      </w:pPr>
      <w:r>
        <w:rPr>
          <w:rFonts w:ascii="Arial" w:cs="Arial" w:eastAsia="Arial" w:hAnsi="Arial"/>
          <w:color w:val="111827"/>
          <w:sz w:val="22"/>
          <w:szCs w:val="22"/>
        </w:rPr>
        <w:t xml:space="preserve">BigQuery: Added a TIMESTAMP column to the telemetry table to store this new field.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CCFBF1" w:val="clear"/>
            <w:tcMar>
              <w:top w:type="dxa" w:w="140"/>
              <w:left w:type="dxa" w:w="200"/>
              <w:bottom w:type="dxa" w:w="140"/>
              <w:right w:type="dxa" w:w="200"/>
            </w:tcMar>
          </w:tcPr>
          <w:p>
            <w:pPr>
              <w:spacing w:after="80" w:before="60"/>
            </w:pPr>
            <w:r>
              <w:rPr>
                <w:rFonts w:ascii="Arial" w:cs="Arial" w:eastAsia="Arial" w:hAnsi="Arial"/>
                <w:b/>
                <w:bCs/>
                <w:color w:val="0F766E"/>
                <w:sz w:val="22"/>
                <w:szCs w:val="22"/>
              </w:rPr>
              <w:t xml:space="preserve">Why this matters</w:t>
            </w:r>
          </w:p>
          <w:p>
            <w:pPr>
              <w:spacing w:after="40" w:before="40"/>
            </w:pPr>
            <w:r>
              <w:rPr>
                <w:rFonts w:ascii="Arial" w:cs="Arial" w:eastAsia="Arial" w:hAnsi="Arial"/>
                <w:color w:val="111827"/>
                <w:sz w:val="20"/>
                <w:szCs w:val="20"/>
              </w:rPr>
              <w:t xml:space="preserve">Real-time dashboards are useless without a Time axis. Without a proper TIMESTAMP column, Grafana cannot draw line charts, define time ranges, or apply time-based aggregations. By adding recordedAt, we enabled the moving line charts that give the dashboard its live feel.</w:t>
            </w:r>
          </w:p>
        </w:tc>
      </w:tr>
    </w:tbl>
    <w:p>
      <w:pPr>
        <w:spacing w:after="0" w:before="160"/>
      </w:pPr>
    </w:p>
    <w:p>
      <w:pPr>
        <w:pStyle w:val="Heading2"/>
        <w:spacing w:after="120" w:before="300"/>
      </w:pPr>
      <w:r>
        <w:rPr>
          <w:rFonts w:ascii="Arial" w:cs="Arial" w:eastAsia="Arial" w:hAnsi="Arial"/>
          <w:b/>
          <w:bCs/>
          <w:color w:val="2563EB"/>
          <w:sz w:val="26"/>
          <w:szCs w:val="26"/>
        </w:rPr>
        <w:t xml:space="preserve">5.2  Part 2: Troubleshooting Log — Issues &amp; Fixes</w:t>
      </w:r>
    </w:p>
    <w:p>
      <w:pPr>
        <w:spacing w:after="100" w:before="80"/>
      </w:pPr>
      <w:r>
        <w:rPr>
          <w:rFonts w:ascii="Arial" w:cs="Arial" w:eastAsia="Arial" w:hAnsi="Arial"/>
          <w:color w:val="111827"/>
          <w:sz w:val="22"/>
          <w:szCs w:val="22"/>
        </w:rPr>
        <w:t xml:space="preserve">The Grafana integration surfaced several classic distributed-systems hurdles. Each is documented below with its root cause and exact resolution.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D1D5DB" w:sz="1"/>
              <w:left w:val="single" w:color="D1D5DB" w:sz="1"/>
              <w:bottom w:val="single" w:color="D1D5DB" w:sz="1"/>
              <w:right w:val="single" w:color="D1D5DB"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Issue</w:t>
            </w:r>
          </w:p>
        </w:tc>
        <w:tc>
          <w:tcPr>
            <w:tcW w:type="dxa" w:w="3080"/>
            <w:tcBorders>
              <w:top w:val="single" w:color="D1D5DB" w:sz="1"/>
              <w:left w:val="single" w:color="D1D5DB" w:sz="1"/>
              <w:bottom w:val="single" w:color="D1D5DB" w:sz="1"/>
              <w:right w:val="single" w:color="D1D5DB"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Root Cause</w:t>
            </w:r>
          </w:p>
        </w:tc>
        <w:tc>
          <w:tcPr>
            <w:tcW w:type="dxa" w:w="4080"/>
            <w:tcBorders>
              <w:top w:val="single" w:color="D1D5DB" w:sz="1"/>
              <w:left w:val="single" w:color="D1D5DB" w:sz="1"/>
              <w:bottom w:val="single" w:color="D1D5DB" w:sz="1"/>
              <w:right w:val="single" w:color="D1D5DB"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Fix</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5C"/>
                <w:sz w:val="19"/>
                <w:szCs w:val="19"/>
              </w:rPr>
              <w:t xml:space="preserve">'Missing Auth Details'</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Only the private key was supplied in the YAML config — the plugin expects the full JWT credential object.</w:t>
            </w:r>
          </w:p>
        </w:tc>
        <w:tc>
          <w:tcPr>
            <w:tcW w:type="dxa" w:w="4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Read the full .json key file and embedded the entire JSON object into the secureJsonData field. This is the enterprise pattern the BigQuery plugin expects for JWT authentication.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'Plugin Error' in UI</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BigQuery is strict about SQL syntax. Standard double-quotes (") were used for table identifiers instead of backticks.</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Corrected the query to use backticks for the full table path: `project.dataset.table`.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5C"/>
                <w:sz w:val="19"/>
                <w:szCs w:val="19"/>
              </w:rPr>
              <w:t xml:space="preserve">Backend Crash (DC Name)</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Cassandra initialised with the name datacenter1 but the Spring Boot app was configured to look for dc1.</w:t>
            </w:r>
          </w:p>
        </w:tc>
        <w:tc>
          <w:tcPr>
            <w:tcW w:type="dxa" w:w="4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Verified the actual node name using docker logs and updated local-datacenter in application.yml to match.</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Backend Crash (Keyspace)</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The iot_telemetry keyspace was absent in the fresh Docker volume — Spring Boot cannot create keyspaces, only tables.</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Ran docker exec into the Cassandra container and manually created the keyspace with SimpleStrategy replication before restarting Spring Boot.</w:t>
            </w:r>
          </w:p>
        </w:tc>
      </w:tr>
    </w:tbl>
    <w:p>
      <w:pPr>
        <w:spacing w:after="0" w:before="160"/>
      </w:pPr>
    </w:p>
    <w:p>
      <w:pPr>
        <w:pStyle w:val="Heading2"/>
        <w:spacing w:after="120" w:before="300"/>
      </w:pPr>
      <w:r>
        <w:rPr>
          <w:rFonts w:ascii="Arial" w:cs="Arial" w:eastAsia="Arial" w:hAnsi="Arial"/>
          <w:b/>
          <w:bCs/>
          <w:color w:val="2563EB"/>
          <w:sz w:val="26"/>
          <w:szCs w:val="26"/>
        </w:rPr>
        <w:t xml:space="preserve">5.3  Current System State</w:t>
      </w:r>
    </w:p>
    <w:p>
      <w:pPr>
        <w:spacing w:after="100" w:before="80"/>
      </w:pPr>
      <w:r>
        <w:rPr>
          <w:rFonts w:ascii="Arial" w:cs="Arial" w:eastAsia="Arial" w:hAnsi="Arial"/>
          <w:color w:val="111827"/>
          <w:sz w:val="22"/>
          <w:szCs w:val="22"/>
        </w:rPr>
        <w:t xml:space="preserve">Following the Grafana integration, all five pipeline stages are operational end-to-end: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CFCE7" w:val="clear"/>
            <w:tcMar>
              <w:top w:type="dxa" w:w="140"/>
              <w:left w:type="dxa" w:w="200"/>
              <w:bottom w:type="dxa" w:w="140"/>
              <w:right w:type="dxa" w:w="200"/>
            </w:tcMar>
          </w:tcPr>
          <w:p>
            <w:pPr>
              <w:spacing w:after="80" w:before="60"/>
            </w:pPr>
            <w:r>
              <w:rPr>
                <w:rFonts w:ascii="Arial" w:cs="Arial" w:eastAsia="Arial" w:hAnsi="Arial"/>
                <w:b/>
                <w:bCs/>
                <w:color w:val="16A34A"/>
                <w:sz w:val="22"/>
                <w:szCs w:val="22"/>
              </w:rPr>
              <w:t xml:space="preserve">Pipeline Status — All Systems Green</w:t>
            </w:r>
          </w:p>
          <w:p>
            <w:pPr>
              <w:spacing w:after="40" w:before="40"/>
            </w:pPr>
            <w:r>
              <w:rPr>
                <w:rFonts w:ascii="Arial" w:cs="Arial" w:eastAsia="Arial" w:hAnsi="Arial"/>
                <w:color w:val="111827"/>
                <w:sz w:val="20"/>
                <w:szCs w:val="20"/>
              </w:rPr>
              <w:t xml:space="preserve">Ingestion:      Simulator  →  Pub/Sub            [WORKING]</w:t>
            </w:r>
          </w:p>
          <w:p>
            <w:pPr>
              <w:spacing w:after="40" w:before="40"/>
            </w:pPr>
            <w:r>
              <w:rPr>
                <w:rFonts w:ascii="Arial" w:cs="Arial" w:eastAsia="Arial" w:hAnsi="Arial"/>
                <w:color w:val="111827"/>
                <w:sz w:val="20"/>
                <w:szCs w:val="20"/>
              </w:rPr>
              <w:t xml:space="preserve">Persistence:    Pub/Sub    →  Cassandra          [WORKING]</w:t>
            </w:r>
          </w:p>
          <w:p>
            <w:pPr>
              <w:spacing w:after="40" w:before="40"/>
            </w:pPr>
            <w:r>
              <w:rPr>
                <w:rFonts w:ascii="Arial" w:cs="Arial" w:eastAsia="Arial" w:hAnsi="Arial"/>
                <w:color w:val="111827"/>
                <w:sz w:val="20"/>
                <w:szCs w:val="20"/>
              </w:rPr>
              <w:t xml:space="preserve">Analytics:      Pub/Sub    →  BigQuery           [WORKING]</w:t>
            </w:r>
          </w:p>
          <w:p>
            <w:pPr>
              <w:spacing w:after="40" w:before="40"/>
            </w:pPr>
            <w:r>
              <w:rPr>
                <w:rFonts w:ascii="Arial" w:cs="Arial" w:eastAsia="Arial" w:hAnsi="Arial"/>
                <w:color w:val="111827"/>
                <w:sz w:val="20"/>
                <w:szCs w:val="20"/>
              </w:rPr>
              <w:t xml:space="preserve">Alerting:       Cloud Function  →  Email         [WORKING]</w:t>
            </w:r>
          </w:p>
          <w:p>
            <w:pPr>
              <w:spacing w:after="40" w:before="40"/>
            </w:pPr>
            <w:r>
              <w:rPr>
                <w:rFonts w:ascii="Arial" w:cs="Arial" w:eastAsia="Arial" w:hAnsi="Arial"/>
                <w:color w:val="111827"/>
                <w:sz w:val="20"/>
                <w:szCs w:val="20"/>
              </w:rPr>
              <w:t xml:space="preserve">Visualization:  BigQuery   →  Grafana            [WORKING]</w:t>
            </w:r>
          </w:p>
        </w:tc>
      </w:tr>
    </w:tbl>
    <w:p>
      <w:r>
        <w:br w:type="page"/>
      </w:r>
    </w:p>
    <w:p>
      <w:pPr>
        <w:pStyle w:val="Heading1"/>
        <w:pBdr>
          <w:bottom w:val="single" w:color="2563EB" w:sz="6" w:space="6"/>
        </w:pBdr>
        <w:spacing w:after="160" w:before="400"/>
      </w:pPr>
      <w:r>
        <w:rPr>
          <w:rFonts w:ascii="Arial" w:cs="Arial" w:eastAsia="Arial" w:hAnsi="Arial"/>
          <w:b/>
          <w:bCs/>
          <w:color w:val="1B3A5C"/>
          <w:sz w:val="32"/>
          <w:szCs w:val="32"/>
        </w:rPr>
        <w:t xml:space="preserve">6.  Issue Summary Table</w:t>
      </w:r>
    </w:p>
    <w:p>
      <w:pPr>
        <w:spacing w:after="100" w:before="80"/>
      </w:pPr>
      <w:r>
        <w:rPr>
          <w:rFonts w:ascii="Arial" w:cs="Arial" w:eastAsia="Arial" w:hAnsi="Arial"/>
          <w:color w:val="111827"/>
          <w:sz w:val="22"/>
          <w:szCs w:val="22"/>
        </w:rPr>
        <w:t xml:space="preserve">A quick-reference table of all seven issues resolved during this project.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2880"/>
        <w:gridCol w:w="1800"/>
      </w:tblGrid>
      <w:tr>
        <w:tc>
          <w:tcPr>
            <w:tcW w:type="dxa" w:w="18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88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88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18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Analogy</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Cassandra DC Mismatch</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Spring Boot looked for dc1; Cassandra node was named datacenter1.</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Updated local-datacenter in application.yml to match cqlsh output.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Wrong room extension at a hotel switchboard.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Keyspace Paradox</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Spring Boot cannot create a Cassandra keyspace, only tables inside one.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Manually created iot_telemetry keyspace via docker exec + cqlsh.</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Filing system can't create the cabinet — only the folders inside it.</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Credential Path Confusion</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Relative path ../../credentials.json resolved incorrectly depending on working directory.</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Adjusted path to match the actual launch directory.</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Directions that only work if you start from the same corner.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IAM Double Denial</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Service account had neither Publisher nor Subscriber permissions.</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Granted Pub/Sub Editor + Pub/Sub Subscriber roles in IAM console.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Building with two separate locks — you need both keys.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BigQuery Ghost Writes</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Pub/Sub service agent lacked BigQuery Data Editor; JSON schema mapping disabled.</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Granted role to service agent; enabled 'Use topic schema'.</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Vending machine that accepts coins but has no shelf access.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Gen1 vs Gen2 Crash</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Function written for Gen1 (event, context) deployed as Gen2 (cloud_event).</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Rewrote with @functions_framework.cloud_event decorator.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Micro-USB cable in a USB-C port — needs an adapter.</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Gmail SMTP Auth</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Standard Google password blocked for programmatic SMTP access.</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Generated and used a 16-character App Password.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Skeleton key replaced by a single-purpose key card.</w:t>
            </w:r>
          </w:p>
        </w:tc>
      </w:tr>
    </w:tbl>
    <w:p>
      <w:pPr>
        <w:spacing w:after="0" w:before="200"/>
      </w:pPr>
    </w:p>
    <w:p>
      <w:pPr>
        <w:pStyle w:val="Heading1"/>
        <w:pBdr>
          <w:bottom w:val="single" w:color="2563EB" w:sz="6" w:space="6"/>
        </w:pBdr>
        <w:spacing w:after="160" w:before="400"/>
      </w:pPr>
      <w:r>
        <w:rPr>
          <w:rFonts w:ascii="Arial" w:cs="Arial" w:eastAsia="Arial" w:hAnsi="Arial"/>
          <w:b/>
          <w:bCs/>
          <w:color w:val="1B3A5C"/>
          <w:sz w:val="32"/>
          <w:szCs w:val="32"/>
        </w:rPr>
        <w:t xml:space="preserve">7.  Lessons Learned</w:t>
      </w:r>
    </w:p>
    <w:p>
      <w:pPr>
        <w:pStyle w:val="Heading2"/>
        <w:spacing w:after="120" w:before="300"/>
      </w:pPr>
      <w:r>
        <w:rPr>
          <w:rFonts w:ascii="Arial" w:cs="Arial" w:eastAsia="Arial" w:hAnsi="Arial"/>
          <w:b/>
          <w:bCs/>
          <w:color w:val="2563EB"/>
          <w:sz w:val="26"/>
          <w:szCs w:val="26"/>
        </w:rPr>
        <w:t xml:space="preserve">6.1  Always verify configuration values from the source</w:t>
      </w:r>
    </w:p>
    <w:p>
      <w:pPr>
        <w:spacing w:after="100" w:before="80"/>
      </w:pPr>
      <w:r>
        <w:rPr>
          <w:rFonts w:ascii="Arial" w:cs="Arial" w:eastAsia="Arial" w:hAnsi="Arial"/>
          <w:color w:val="111827"/>
          <w:sz w:val="22"/>
          <w:szCs w:val="22"/>
        </w:rPr>
        <w:t xml:space="preserve">Never assume default values. Whether it is a Cassandra datacenter name, a GCP project ID, or a service account email — always query the running system to confirm the exact value before configuring clients to connect to it.</w:t>
      </w:r>
    </w:p>
    <w:p>
      <w:pPr>
        <w:spacing w:after="0" w:before="120"/>
      </w:pPr>
    </w:p>
    <w:p>
      <w:pPr>
        <w:pStyle w:val="Heading2"/>
        <w:spacing w:after="120" w:before="300"/>
      </w:pPr>
      <w:r>
        <w:rPr>
          <w:rFonts w:ascii="Arial" w:cs="Arial" w:eastAsia="Arial" w:hAnsi="Arial"/>
          <w:b/>
          <w:bCs/>
          <w:color w:val="2563EB"/>
          <w:sz w:val="26"/>
          <w:szCs w:val="26"/>
        </w:rPr>
        <w:t xml:space="preserve">6.2  IAM is additive and minimal by default</w:t>
      </w:r>
    </w:p>
    <w:p>
      <w:pPr>
        <w:spacing w:after="100" w:before="80"/>
      </w:pPr>
      <w:r>
        <w:rPr>
          <w:rFonts w:ascii="Arial" w:cs="Arial" w:eastAsia="Arial" w:hAnsi="Arial"/>
          <w:color w:val="111827"/>
          <w:sz w:val="22"/>
          <w:szCs w:val="22"/>
        </w:rPr>
        <w:t xml:space="preserve">In GCP (and most cloud platforms), every new identity starts with zero permissions. Grant only the specific roles needed, and test each role separately. A permissions error at publish time and a permissions error at subscribe time are different problems requiring different role grants.</w:t>
      </w:r>
    </w:p>
    <w:p>
      <w:pPr>
        <w:spacing w:after="0" w:before="120"/>
      </w:pPr>
    </w:p>
    <w:p>
      <w:pPr>
        <w:pStyle w:val="Heading2"/>
        <w:spacing w:after="120" w:before="300"/>
      </w:pPr>
      <w:r>
        <w:rPr>
          <w:rFonts w:ascii="Arial" w:cs="Arial" w:eastAsia="Arial" w:hAnsi="Arial"/>
          <w:b/>
          <w:bCs/>
          <w:color w:val="2563EB"/>
          <w:sz w:val="26"/>
          <w:szCs w:val="26"/>
        </w:rPr>
        <w:t xml:space="preserve">6.3  Serverless functions age quickly</w:t>
      </w:r>
    </w:p>
    <w:p>
      <w:pPr>
        <w:spacing w:after="100" w:before="80"/>
      </w:pPr>
      <w:r>
        <w:rPr>
          <w:rFonts w:ascii="Arial" w:cs="Arial" w:eastAsia="Arial" w:hAnsi="Arial"/>
          <w:color w:val="111827"/>
          <w:sz w:val="22"/>
          <w:szCs w:val="22"/>
        </w:rPr>
        <w:t xml:space="preserve">Cloud Functions, Lambda, and similar serverless platforms frequently introduce breaking changes between generations. Always check the target runtime and generation when writing or migrating function code — the function signature (how arguments are passed in) can change entirely.</w:t>
      </w:r>
    </w:p>
    <w:p>
      <w:pPr>
        <w:spacing w:after="0" w:before="120"/>
      </w:pPr>
    </w:p>
    <w:p>
      <w:pPr>
        <w:pStyle w:val="Heading2"/>
        <w:spacing w:after="120" w:before="300"/>
      </w:pPr>
      <w:r>
        <w:rPr>
          <w:rFonts w:ascii="Arial" w:cs="Arial" w:eastAsia="Arial" w:hAnsi="Arial"/>
          <w:b/>
          <w:bCs/>
          <w:color w:val="2563EB"/>
          <w:sz w:val="26"/>
          <w:szCs w:val="26"/>
        </w:rPr>
        <w:t xml:space="preserve">6.4  Fan-out architecture rewards patience during setup</w:t>
      </w:r>
    </w:p>
    <w:p>
      <w:pPr>
        <w:spacing w:after="100" w:before="80"/>
      </w:pPr>
      <w:r>
        <w:rPr>
          <w:rFonts w:ascii="Arial" w:cs="Arial" w:eastAsia="Arial" w:hAnsi="Arial"/>
          <w:color w:val="111827"/>
          <w:sz w:val="22"/>
          <w:szCs w:val="22"/>
        </w:rPr>
        <w:t xml:space="preserve">A fan-out system with three consumers, two GCP services, and one external database has many moving parts. Each part must be individually configured, permissioned, and tested before end-to-end flow can be verified. Resist the temptation to test everything at once — validate each component in isolation first.</w:t>
      </w:r>
    </w:p>
    <w:p>
      <w:pPr>
        <w:spacing w:after="0" w:before="120"/>
      </w:pPr>
    </w:p>
    <w:p>
      <w:pPr>
        <w:pStyle w:val="Heading2"/>
        <w:spacing w:after="120" w:before="300"/>
      </w:pPr>
      <w:r>
        <w:rPr>
          <w:rFonts w:ascii="Arial" w:cs="Arial" w:eastAsia="Arial" w:hAnsi="Arial"/>
          <w:b/>
          <w:bCs/>
          <w:color w:val="2563EB"/>
          <w:sz w:val="26"/>
          <w:szCs w:val="26"/>
        </w:rPr>
        <w:t xml:space="preserve">6.5  Silent failures are the hardest bugs</w:t>
      </w:r>
    </w:p>
    <w:p>
      <w:pPr>
        <w:spacing w:after="100" w:before="80"/>
      </w:pPr>
      <w:r>
        <w:rPr>
          <w:rFonts w:ascii="Arial" w:cs="Arial" w:eastAsia="Arial" w:hAnsi="Arial"/>
          <w:color w:val="111827"/>
          <w:sz w:val="22"/>
          <w:szCs w:val="22"/>
        </w:rPr>
        <w:t xml:space="preserve">The BigQuery issue (messages arriving but table staying empty) is a classic distributed systems pattern: the system reports success at every layer, but data disappears somewhere in the middle. Always instrument your pipeline with visibility at each hop — a Pub/Sub subscription metrics dashboard, Cassandra write latency, BigQuery streaming buffer stats.</w:t>
      </w:r>
    </w:p>
    <w:p>
      <w:pPr>
        <w:spacing w:after="0" w:before="200"/>
      </w:pPr>
    </w:p>
    <w:p>
      <w:pPr>
        <w:pStyle w:val="Heading1"/>
        <w:pBdr>
          <w:bottom w:val="single" w:color="2563EB" w:sz="6" w:space="6"/>
        </w:pBdr>
        <w:spacing w:after="160" w:before="400"/>
      </w:pPr>
      <w:r>
        <w:rPr>
          <w:rFonts w:ascii="Arial" w:cs="Arial" w:eastAsia="Arial" w:hAnsi="Arial"/>
          <w:b/>
          <w:bCs/>
          <w:color w:val="1B3A5C"/>
          <w:sz w:val="32"/>
          <w:szCs w:val="32"/>
        </w:rPr>
        <w:t xml:space="preserve">8.  Future Enhancements</w:t>
      </w:r>
    </w:p>
    <w:p>
      <w:pPr>
        <w:spacing w:after="100" w:before="80"/>
      </w:pPr>
      <w:r>
        <w:rPr>
          <w:rFonts w:ascii="Arial" w:cs="Arial" w:eastAsia="Arial" w:hAnsi="Arial"/>
          <w:color w:val="111827"/>
          <w:sz w:val="22"/>
          <w:szCs w:val="22"/>
        </w:rPr>
        <w:t xml:space="preserve">The following capabilities are scoped for future work and were intentionally excluded from the current release to keep the core pipeline stable and deliverable.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40"/>
              <w:left w:type="dxa" w:w="200"/>
              <w:bottom w:type="dxa" w:w="140"/>
              <w:right w:type="dxa" w:w="200"/>
            </w:tcMar>
          </w:tcPr>
          <w:p>
            <w:pPr>
              <w:spacing w:after="80" w:before="60"/>
            </w:pPr>
            <w:r>
              <w:rPr>
                <w:rFonts w:ascii="Arial" w:cs="Arial" w:eastAsia="Arial" w:hAnsi="Arial"/>
                <w:b/>
                <w:bCs/>
                <w:color w:val="2563EB"/>
                <w:sz w:val="22"/>
                <w:szCs w:val="22"/>
              </w:rPr>
              <w:t xml:space="preserve">Planned Enhancements (Deferred)</w:t>
            </w:r>
          </w:p>
          <w:p>
            <w:pPr>
              <w:spacing w:after="40" w:before="40"/>
            </w:pPr>
            <w:r>
              <w:rPr>
                <w:rFonts w:ascii="Arial" w:cs="Arial" w:eastAsia="Arial" w:hAnsi="Arial"/>
                <w:color w:val="111827"/>
                <w:sz w:val="20"/>
                <w:szCs w:val="20"/>
              </w:rPr>
              <w:t xml:space="preserve">• Analytics Layer — pre-aggregated Cassandra materialized views for the dashboard to reduce query load.</w:t>
            </w:r>
          </w:p>
          <w:p>
            <w:pPr>
              <w:spacing w:after="40" w:before="40"/>
            </w:pPr>
            <w:r>
              <w:rPr>
                <w:rFonts w:ascii="Arial" w:cs="Arial" w:eastAsia="Arial" w:hAnsi="Arial"/>
                <w:color w:val="111827"/>
                <w:sz w:val="20"/>
                <w:szCs w:val="20"/>
              </w:rPr>
              <w:t xml:space="preserve">• Caching Layer — Redis in front of the REST API to serve dashboard requests from memory instead of hitting Cassandra on every poll.</w:t>
            </w:r>
          </w:p>
          <w:p>
            <w:pPr>
              <w:spacing w:after="40" w:before="40"/>
            </w:pPr>
            <w:r>
              <w:rPr>
                <w:rFonts w:ascii="Arial" w:cs="Arial" w:eastAsia="Arial" w:hAnsi="Arial"/>
                <w:color w:val="111827"/>
                <w:sz w:val="20"/>
                <w:szCs w:val="20"/>
              </w:rPr>
              <w:t xml:space="preserve">• Dead-Letter Queue — a Pub/Sub DLQ subscription to capture and replay messages that fail processing.</w:t>
            </w:r>
          </w:p>
          <w:p>
            <w:pPr>
              <w:spacing w:after="40" w:before="40"/>
            </w:pPr>
            <w:r>
              <w:rPr>
                <w:rFonts w:ascii="Arial" w:cs="Arial" w:eastAsia="Arial" w:hAnsi="Arial"/>
                <w:color w:val="111827"/>
                <w:sz w:val="20"/>
                <w:szCs w:val="20"/>
              </w:rPr>
              <w:t xml:space="preserve">• Helm Chart / Terraform — infrastructure-as-code to deploy the entire stack reproducibly.</w:t>
            </w:r>
          </w:p>
        </w:tc>
      </w:tr>
    </w:tbl>
    <w:p>
      <w:pPr>
        <w:spacing w:after="0" w:before="200"/>
      </w:pPr>
    </w:p>
    <w:p>
      <w:pPr>
        <w:pStyle w:val="Heading1"/>
        <w:pBdr>
          <w:bottom w:val="single" w:color="2563EB" w:sz="6" w:space="6"/>
        </w:pBdr>
        <w:spacing w:after="160" w:before="400"/>
      </w:pPr>
      <w:r>
        <w:rPr>
          <w:rFonts w:ascii="Arial" w:cs="Arial" w:eastAsia="Arial" w:hAnsi="Arial"/>
          <w:b/>
          <w:bCs/>
          <w:color w:val="1B3A5C"/>
          <w:sz w:val="32"/>
          <w:szCs w:val="32"/>
        </w:rPr>
        <w:t xml:space="preserve">9.  Glossary of Key Terms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1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5C"/>
                <w:sz w:val="20"/>
                <w:szCs w:val="20"/>
              </w:rPr>
              <w:t xml:space="preserve">Fan-Out Architecture</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 messaging pattern where one published message is delivered to multiple subscribers simultaneously.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Pub/Sub</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Google Cloud's managed publish-subscribe messaging service. Producers publish messages; consumers subscribe to receive them.</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5C"/>
                <w:sz w:val="20"/>
                <w:szCs w:val="20"/>
              </w:rPr>
              <w:t xml:space="preserve">Keyspace (Cassandra)</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The top-level namespace in Cassandra, equivalent to a 'database' in relational systems.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Partition Key</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The field(s) in Cassandra that determine which node stores a given row, and how rows are grouped for efficient retrieval.</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5C"/>
                <w:sz w:val="20"/>
                <w:szCs w:val="20"/>
              </w:rPr>
              <w:t xml:space="preserve">Day-Bucket Partitioning</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 Cassandra design pattern where the partition key includes a date component to group time-series data by day.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IAM (Identity &amp; Access Management)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The GCP system for controlling which accounts can perform which operations on which resources.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5C"/>
                <w:sz w:val="20"/>
                <w:szCs w:val="20"/>
              </w:rPr>
              <w:t xml:space="preserve">Service Account</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 non-human GCP identity used by applications and services to authenticate with Google Cloud APIs.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App Password</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 16-character token issued by Google to allow third-party applications to authenticate via SMTP without using the main account password.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5C"/>
                <w:sz w:val="20"/>
                <w:szCs w:val="20"/>
              </w:rPr>
              <w:t xml:space="preserve">Cloud Function (Gen 2)</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Google's second-generation serverless compute platform, using the CloudEvents specification for event-driven triggers.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CloudEvent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 open-standard specification for describing event data. Used by Cloud Functions Gen 2 to wrap trigger payloads.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5C"/>
                <w:sz w:val="20"/>
                <w:szCs w:val="20"/>
              </w:rPr>
              <w:t xml:space="preserve">Glassmorphism</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 UI design style characterised by frosted-glass translucency effects, blur, and semi-transparent backgrounds.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DLQ (Dead-Letter Queue)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 secondary queue that captures messages that could not be processed successfully, allowing inspection and replay.</w:t>
            </w:r>
          </w:p>
        </w:tc>
      </w:tr>
    </w:tbl>
    <w:p>
      <w:pPr>
        <w:spacing w:after="0" w:before="300"/>
      </w:pPr>
    </w:p>
    <w:p>
      <w:pPr>
        <w:pBdr>
          <w:top w:val="single" w:color="2563EB" w:sz="4" w:space="8"/>
        </w:pBdr>
        <w:spacing w:after="80" w:before="200"/>
        <w:jc w:val="center"/>
      </w:pPr>
      <w:r>
        <w:rPr>
          <w:rFonts w:ascii="Arial" w:cs="Arial" w:eastAsia="Arial" w:hAnsi="Arial"/>
          <w:i/>
          <w:iCs/>
          <w:color w:val="6B7280"/>
          <w:sz w:val="18"/>
          <w:szCs w:val="18"/>
        </w:rPr>
        <w:t xml:space="preserve">IoT-GCP-Cassandra Telemetry Pipeline  •  Project Recap  •  April 2026</w:t>
      </w:r>
    </w:p>
    <w:p>
      <w:pPr>
        <w:jc w:val="center"/>
      </w:pPr>
      <w:r>
        <w:rPr>
          <w:rFonts w:ascii="Arial" w:cs="Arial" w:eastAsia="Arial" w:hAnsi="Arial"/>
          <w:b/>
          <w:bCs/>
          <w:color w:val="16A34A"/>
          <w:sz w:val="18"/>
          <w:szCs w:val="18"/>
        </w:rPr>
        <w:t xml:space="preserve">End-to-End Pipeline Functional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563EB"/>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2026-04-29T06:42:31.559Z</dcterms:created>
  <dcterms:modified xsi:type="dcterms:W3CDTF">2026-04-29T06:42:31.561Z</dcterms:modified>
</cp:coreProperties>
</file>

<file path=docProps/custom.xml><?xml version="1.0" encoding="utf-8"?>
<Properties xmlns="http://schemas.openxmlformats.org/officeDocument/2006/custom-properties" xmlns:vt="http://schemas.openxmlformats.org/officeDocument/2006/docPropsVTypes"/>
</file>