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993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МИНИСТЕРСТВО НАУКИ И ВЫСШЕГО ОБРАЗОВАНИЯ РОССИЙСКОЙ ФЕДЕРАЦИИ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8891</wp:posOffset>
            </wp:positionH>
            <wp:positionV relativeFrom="paragraph">
              <wp:posOffset>-8254</wp:posOffset>
            </wp:positionV>
            <wp:extent cx="932815" cy="914400"/>
            <wp:effectExtent b="0" l="0" r="0" t="0"/>
            <wp:wrapSquare wrapText="bothSides" distB="0" distT="0" distL="114300" distR="114300"/>
            <wp:docPr descr="mai" id="1" name="image1.png"/>
            <a:graphic>
              <a:graphicData uri="http://schemas.openxmlformats.org/drawingml/2006/picture">
                <pic:pic>
                  <pic:nvPicPr>
                    <pic:cNvPr descr="mai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2815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993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УЧРЕЖДЕНИЕ ВЫСШЕГО ОБРАЗОВАНИЯ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«МОСКОВСКИЙ АВИАЦИОННЫЙ ИНСТИТУТ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              (национальный исследовательский университет)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 Т З Ы В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РУКОВОДИТЕЛЯ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Студент  </w:t>
      </w:r>
      <w:bookmarkStart w:colFirst="0" w:colLast="0" w:name="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___________________Довженко Анастасия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Александровна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6"/>
          <w:szCs w:val="16"/>
          <w:u w:val="none"/>
          <w:shd w:fill="auto" w:val="clear"/>
          <w:vertAlign w:val="baseline"/>
          <w:rtl w:val="0"/>
        </w:rPr>
        <w:t xml:space="preserve">(фамилия, имя, отчество полностью)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Институт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№ 8 «Информационные технологии и прикладная математика»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a"/>
          <w:sz w:val="26"/>
          <w:szCs w:val="2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Кафедра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    806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подготовки: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01.03.02 «Прикладная математика и информатика»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Группа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М8О-407Б-16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Квалификация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ab/>
        <w:tab/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бакалавр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u w:val="singl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12" w:lineRule="auto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Наименование темы: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ab/>
        <w:t xml:space="preserve">Исследование операций переключения между классами эквивалентности матриц Адамара.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40" w:line="240" w:lineRule="auto"/>
        <w:rPr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Руководитель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Зайцев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 Валентин Евгеньевич, к.ф.-м.н., доцент, доцент, кафедра 806, МАИ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 xml:space="preserve">(фамилия, имя, отчество полностью, ученая степень, ученое звание, должность и место работы)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Отмеченные достоинства: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работа весьма содержательна, соответствует выданному заданию. Структура работы логична, материал излагается последовательно, а его содержание свидетельствует о творческом подходе автора к рассматриваемой проблеме. Автором  проанализирована  зарубежная специализированная научная литература по исследуемой теме. В практической части автор показывает владение современным инструментарием разработки. Материалы дипломного исследования представляют широкое поле для дальнейшей научно-исследовательской и практической деятельности</w:t>
        <w:tab/>
        <w:tab/>
        <w:tab/>
        <w:tab/>
        <w:tab/>
        <w:tab/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Отмеченные недостатки: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к недостаткам можно отнести неприменимость метода для массового пользователя.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Заключение: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в целом работа выполнена на высоком теоретическом и прикладном уровне,</w:t>
        <w:tab/>
        <w:t xml:space="preserve"> соответствует требованиям к выпускной квалификационной работе. Работа может допущена к  защите с рекомендованной оценкой «отлично»,  несмотря на перечисленные выше недостатки, а её автор заслуживает присвоения  степени "бакалавра" по направлению  «Прикладная математика и информатика».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Работа проверена на объем заимствования. % заимствования – 0%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«25» _мая_ 2020  г.               </w:t>
        <w:tab/>
        <w:tab/>
        <w:t xml:space="preserve">           Руководитель_________________Зайцев В.Е.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6237"/>
        </w:tabs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  <w:tab/>
        <w:tab/>
        <w:t xml:space="preserve">(подпись)</w:t>
      </w:r>
      <w:r w:rsidDel="00000000" w:rsidR="00000000" w:rsidRPr="00000000">
        <w:rPr>
          <w:rtl w:val="0"/>
        </w:rPr>
      </w:r>
    </w:p>
    <w:sectPr>
      <w:pgSz w:h="16838" w:w="11906"/>
      <w:pgMar w:bottom="709" w:top="568" w:left="1134" w:right="70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