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Pr="00ED3FD5" w:rsidR="0093027B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4C317A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4C317A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Storebrand Livsforsikring</w:t>
          </w:r>
        </w:sdtContent>
      </w:sdt>
    </w:p>
    <w:p w:rsidRPr="00861B2C" w:rsidR="009E3AD2" w:rsidP="00E66980" w:rsidRDefault="004C317A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August 31 - September 30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pPr>
        <w:pStyle w:val="Heading1"/>
      </w:pPr>
      <w:r>
        <w:t>Datawarehouse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Datawarehouse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99.945023155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stbap489</w:t>
            </w:r>
          </w:p>
        </w:tc>
        <w:tc>
          <w:pPr>
            <w:jc w:val="right"/>
          </w:pPr>
          <w:p>
            <w:r>
              <w:t>99.6990741</w:t>
            </w:r>
          </w:p>
        </w:tc>
        <w:tc>
          <w:p>
            <w:r>
              <w:t>02:10h</w:t>
            </w:r>
          </w:p>
        </w:tc>
      </w:tr>
      <w:tr>
        <w:tc>
          <w:p>
            <w:r>
              <w:t>stbap483</w:t>
            </w:r>
          </w:p>
        </w:tc>
        <w:tc>
          <w:pPr>
            <w:jc w:val="right"/>
          </w:pPr>
          <w:p>
            <w:r>
              <w:t>99.7106481</w:t>
            </w:r>
          </w:p>
        </w:tc>
        <w:tc>
          <w:p>
            <w:r>
              <w:t>02:05h</w:t>
            </w:r>
          </w:p>
        </w:tc>
      </w:tr>
      <w:tr>
        <w:tc>
          <w:p>
            <w:r>
              <w:t>stbap485</w:t>
            </w:r>
          </w:p>
        </w:tc>
        <w:tc>
          <w:pPr>
            <w:jc w:val="right"/>
          </w:pPr>
          <w:p>
            <w:r>
              <w:t>99.7337963</w:t>
            </w:r>
          </w:p>
        </w:tc>
        <w:tc>
          <w:p>
            <w:r>
              <w:t>01:55h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stbap404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stbap520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stbap484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stbuap479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stbap613fp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stbap486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stbuap480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stbuap130v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Basware.Archive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Basware.Archive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99.9681713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stbuap287fp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stbuap286fp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Skanning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Skanning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99.9768519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</w:tbl>
    <w:br w:type="page"/>
    <w:p>
      <w:pPr>
        <w:pStyle w:val="Heading1"/>
      </w:pPr>
      <w:r>
        <w:t>xPression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xPression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99.9787808666667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stbap464fp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Oracle Hotel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Oracle Hotel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99.9818121714286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dat-spp-ora60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dat-spp-ora61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dap-spp-ora20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Domino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Domino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99.988425925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stbap723fp</w:t>
            </w:r>
          </w:p>
        </w:tc>
        <w:tc>
          <w:pPr>
            <w:jc w:val="right"/>
          </w:pPr>
          <w:p>
            <w:r>
              <w:t>99.9537037</w:t>
            </w:r>
          </w:p>
        </w:tc>
        <w:tc>
          <w:p>
            <w:r>
              <w:t>00:20h</w:t>
            </w:r>
          </w:p>
        </w:tc>
      </w:tr>
      <w:tr>
        <w:tc>
          <w:p>
            <w:r>
              <w:t>stbuap746fp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Mainframe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Mainframe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99.9884259272727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Prolink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Prolink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99.9909060857143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DWH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DWH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alp-stb-083fp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stbuap793fp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Worksite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Worksite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stbap491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stbap492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Tivoli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Tivoli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stbap772fp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stbap501fp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Intranet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Intranet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stbap383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stbap384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KOVI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KOVI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stbseap112fp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IRIS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IRIS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99.99421295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stbseap095fp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stbseap094fp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Exchange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Exchange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99.9950396714286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stbex001fp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stbex004fp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stbex002fp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stbex005fp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stbuex001fp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Uniflow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Uniflow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99.9950396857143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stbuap282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KSJU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KSJU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99.9952009878049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stbsecl11cn01fp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stbseap089fp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stbsecl10cn02fp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stbseap125fp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stbuseap201fp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stbseap785fp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stbseap122fp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stbseap645fp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stbseap043fp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stbsecl11cn02fp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stbsecl10cn01fp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stbuseap006fp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stbseap126fp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stbseap041fp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stbseap027fp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stbuseap131fp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stbseap644fp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eBusiness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eBusiness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99.9958936919355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alp-stb-030fp</w:t>
            </w:r>
          </w:p>
        </w:tc>
        <w:tc>
          <w:pPr>
            <w:jc w:val="right"/>
          </w:pPr>
          <w:p>
            <w:r>
              <w:t>99.9305941</w:t>
            </w:r>
          </w:p>
        </w:tc>
        <w:tc>
          <w:p>
            <w:r>
              <w:t>00:29h</w:t>
            </w:r>
          </w:p>
        </w:tc>
      </w:tr>
      <w:tr>
        <w:tc>
          <w:p>
            <w:r>
              <w:t>alt-stb-002fp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alt-stb-035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stbap796fp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alp-stb-101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alp-stb-021fp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alp-stb-021dr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alt-stb-034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Application infrastructure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Application infrastructure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99.9959490725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stbpr002fp</w:t>
            </w:r>
          </w:p>
        </w:tc>
        <w:tc>
          <w:pPr>
            <w:jc w:val="right"/>
          </w:pPr>
          <w:p>
            <w:r>
              <w:t>99.8726852</w:t>
            </w:r>
          </w:p>
        </w:tc>
        <w:tc>
          <w:p>
            <w:r>
              <w:t>00:55h</w:t>
            </w:r>
          </w:p>
        </w:tc>
      </w:tr>
      <w:tr>
        <w:tc>
          <w:p>
            <w:r>
              <w:t>stbfs9030</w:t>
            </w:r>
          </w:p>
        </w:tc>
        <w:tc>
          <w:pPr>
            <w:jc w:val="right"/>
          </w:pPr>
          <w:p>
            <w:r>
              <w:t>99.8842593</w:t>
            </w:r>
          </w:p>
        </w:tc>
        <w:tc>
          <w:p>
            <w:r>
              <w:t>00:50h</w:t>
            </w:r>
          </w:p>
        </w:tc>
      </w:tr>
      <w:tr>
        <w:tc>
          <w:p>
            <w:r>
              <w:t>stbcm008fp</w:t>
            </w:r>
          </w:p>
        </w:tc>
        <w:tc>
          <w:pPr>
            <w:jc w:val="right"/>
          </w:pPr>
          <w:p>
            <w:r>
              <w:t>99.8842593</w:t>
            </w:r>
          </w:p>
        </w:tc>
        <w:tc>
          <w:p>
            <w:r>
              <w:t>00:50h</w:t>
            </w:r>
          </w:p>
        </w:tc>
      </w:tr>
      <w:tr>
        <w:tc>
          <w:p>
            <w:r>
              <w:t>stbsecl01cn01fp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stbap713fp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stbseap737fp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stbudc005fp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stbap638fp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stbap106fp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stbseap786fp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stbfs9014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stbap634fp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stbcdp001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stbap088fp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stbap750fp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stbseap782fp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stbseap765fp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stbcm101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stbap611fp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stbsets008fp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stbts005fp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stbap628fp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stbap107fp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stbap366fp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stbuap772fp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webgmgmt4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stbca002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sbcvdivum01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stbuts005fp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stbsecl01cn02fp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webgsql4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stbnmapserver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stbuseap779fp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stbufs001fp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PRODACAPO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PRODACAPO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99.9961419666667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Cantor Controller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Cantor Controller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99.9961419666667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Deployment Services STB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Deployment Services STB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99.997106475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stbap124fp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stbap355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Lotus Notes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Lotus Notes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99.997106475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stbuap633fp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stbap386fp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stbap385fp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LYNC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LYNC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99.9974279888889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stbap619fp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stbap621fp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Sharepoint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Sharepoint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99.9976851828571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stbow202</w:t>
            </w:r>
          </w:p>
        </w:tc>
        <w:tc>
          <w:pPr>
            <w:jc w:val="right"/>
          </w:pPr>
          <w:p>
            <w:r>
              <w:t>99.9768519</w:t>
            </w:r>
          </w:p>
        </w:tc>
        <w:tc>
          <w:p>
            <w:r>
              <w:t>00:10h</w:t>
            </w:r>
          </w:p>
        </w:tc>
      </w:tr>
      <w:tr>
        <w:tc>
          <w:p>
            <w:r>
              <w:t>stbsp206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stbsp203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stbsp301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stbsp208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stbsp204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Citrix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Citrix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99.9979331964286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sbctsk330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sbctsk320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sbcts101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sbcts201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sbctsk310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sbctsa603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sbctss901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sbctsk335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sbcrds001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sbctsa601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AIAE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AIAE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99.99884259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stbuseap054fp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stbseap052fp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CRM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CRM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99.9990354916667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stbap773fp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stbap455fp</w:t>
            </w:r>
          </w:p>
        </w:tc>
        <w:tc>
          <w:pPr>
            <w:jc w:val="right"/>
          </w:pPr>
          <w:p>
            <w:r>
              <w:t>99.9884259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stbap774fp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 Manager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 Manager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IdentityMinder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IdentityMinder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SKALA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SKALA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Lysaker Park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Lysaker Park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Banksystemer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Banksystemer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STRS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STRS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Virtual Works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Virtual Works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Norsk Pensjon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Norsk Pensjon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Customer Master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Customer Master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QLIKVIEW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QLIKVIEW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stbseap128fp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MQ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MQ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Websphere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Websphere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Helseapp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Helseapp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Axapta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Axapta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stbap393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stbuap528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stbuap122v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SiteMinder SIAM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SiteMinder SIAM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Portrait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Portrait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stbdb726fp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stbdb725fp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stbudb727fp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EURB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EURB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stbseap200fp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CMS and Config Mgmt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CMS and Config Mgmt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 Invoice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 Invoice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stbap527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