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z096hg44n6" w:id="0"/>
      <w:bookmarkEnd w:id="0"/>
      <w:r w:rsidDel="00000000" w:rsidR="00000000" w:rsidRPr="00000000">
        <w:rPr>
          <w:rtl w:val="0"/>
        </w:rPr>
        <w:t xml:space="preserve">Data Migration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720" w:line="300" w:lineRule="auto"/>
        <w:rPr>
          <w:color w:val="454545"/>
          <w:sz w:val="39"/>
          <w:szCs w:val="39"/>
        </w:rPr>
      </w:pPr>
      <w:bookmarkStart w:colFirst="0" w:colLast="0" w:name="_6hrbdsv7ro4w" w:id="1"/>
      <w:bookmarkEnd w:id="1"/>
      <w:r w:rsidDel="00000000" w:rsidR="00000000" w:rsidRPr="00000000">
        <w:rPr>
          <w:color w:val="454545"/>
          <w:sz w:val="39"/>
          <w:szCs w:val="39"/>
          <w:rtl w:val="0"/>
        </w:rPr>
        <w:t xml:space="preserve">Types of Data Migration</w:t>
      </w:r>
    </w:p>
    <w:p w:rsidR="00000000" w:rsidDel="00000000" w:rsidP="00000000" w:rsidRDefault="00000000" w:rsidRPr="00000000" w14:paraId="00000003">
      <w:pPr>
        <w:shd w:fill="ffffff" w:val="clear"/>
        <w:spacing w:after="360" w:line="395.99999999999994" w:lineRule="auto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There are numerous business advantages to upgrading systems or extending a data center into the cloud. For many firms, this is a very natural evolution. Companies using cloud are hoping that they can focus their staff on business priorities, fuel top-line growth, increase agility, reduce capital expenses, and pay for only what they need on demand.</w:t>
      </w:r>
    </w:p>
    <w:p w:rsidR="00000000" w:rsidDel="00000000" w:rsidP="00000000" w:rsidRDefault="00000000" w:rsidRPr="00000000" w14:paraId="00000004">
      <w:pPr>
        <w:shd w:fill="ffffff" w:val="clear"/>
        <w:spacing w:after="360" w:line="395.99999999999994" w:lineRule="auto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The following are the major types of data migration: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Storage migration.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The process of moving data off existing arrays into more modern ones that enable other systems to access it. Offers significantly faster performance and more cost-effective scaling while enabling expected data management features such as cloning, snapshots, and backup and disaster recovery.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Cloud migration.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The process of moving data, application, or other business elements from either an on-premises data center to a cloud or from one cloud to another. In many cases, it also entails a storage migration.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Application migration.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The process of moving an application program from one environment to another. May include moving the entire application from an on-premises IT center to a cloud, moving between clouds, or simply moving the application's underlying data to a new form of the application hosted by a software provider.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720" w:line="300" w:lineRule="auto"/>
        <w:rPr>
          <w:color w:val="454545"/>
          <w:sz w:val="39"/>
          <w:szCs w:val="39"/>
        </w:rPr>
      </w:pPr>
      <w:bookmarkStart w:colFirst="0" w:colLast="0" w:name="_3gni49bldy43" w:id="2"/>
      <w:bookmarkEnd w:id="2"/>
      <w:r w:rsidDel="00000000" w:rsidR="00000000" w:rsidRPr="00000000">
        <w:rPr>
          <w:color w:val="454545"/>
          <w:sz w:val="39"/>
          <w:szCs w:val="39"/>
          <w:rtl w:val="0"/>
        </w:rPr>
        <w:t xml:space="preserve">How to Plan a Data Migration</w:t>
      </w:r>
    </w:p>
    <w:p w:rsidR="00000000" w:rsidDel="00000000" w:rsidP="00000000" w:rsidRDefault="00000000" w:rsidRPr="00000000" w14:paraId="0000000A">
      <w:pPr>
        <w:shd w:fill="ffffff" w:val="clear"/>
        <w:spacing w:after="360" w:line="395.99999999999994" w:lineRule="auto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Data migration involves 3 basic steps: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Extract data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Transform data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Load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60" w:line="395.99999999999994" w:lineRule="auto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Moving important or sensitive data and decommissioning legacy systems can put stakeholders on edge. Having a solid plan is a must. We plan to do the data migration in a 7-phase process: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Premigration planning.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Evaluate the data being moved for stability.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Project initiation.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Identify and brief key stakeholders.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Landscape analysis.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Establish a robust data quality rules management process and brief the business on the goals of the project, including shutting down legacy systems.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Solution design.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Determine what data to move, and the quality of that data before and after the move.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Build &amp; test.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Code the migration logic and test the migration with a mirror of the production environment.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Execute &amp; validate.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Demonstrate that the migration has complied with requirements and that the data moved is viable for business use.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395.99999999999994" w:lineRule="auto"/>
        <w:ind w:left="720" w:hanging="360"/>
      </w:pPr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Decommission &amp; monitor.</w:t>
      </w:r>
      <w:r w:rsidDel="00000000" w:rsidR="00000000" w:rsidRPr="00000000">
        <w:rPr>
          <w:color w:val="454545"/>
          <w:sz w:val="27"/>
          <w:szCs w:val="27"/>
          <w:rtl w:val="0"/>
        </w:rPr>
        <w:t xml:space="preserve"> Shut down and dispose of old systems.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5454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5454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545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