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JpRenderedHTMLCommonh1nthchild1"/>
        <w:pBdr/>
        <w:spacing w:lineRule="atLeast" w:line="540" w:before="281" w:after="281"/>
        <w:ind w:left="0" w:right="300" w:hanging="0"/>
        <w:rPr>
          <w:b/>
          <w:b/>
          <w:bCs/>
          <w:i w:val="false"/>
          <w:i w:val="false"/>
          <w:iCs w:val="false"/>
          <w:sz w:val="42"/>
          <w:szCs w:val="42"/>
        </w:rPr>
      </w:pPr>
      <w:r>
        <w:rPr>
          <w:b/>
          <w:bCs/>
          <w:i w:val="false"/>
          <w:iCs w:val="false"/>
          <w:sz w:val="42"/>
          <w:szCs w:val="42"/>
        </w:rPr>
        <w:t>Equal-Weight S&amp;P 500 Index Fund</w:t>
      </w:r>
      <w:r>
        <w:rPr>
          <w:rStyle w:val="JpRenderedHTMLCommonalink"/>
          <w:b/>
          <w:bCs/>
          <w:i w:val="false"/>
          <w:iCs w:val="false"/>
          <w:vanish/>
          <w:color w:val="106BA3"/>
          <w:sz w:val="42"/>
          <w:szCs w:val="42"/>
          <w:u w:val="none" w:color="106BA3"/>
        </w:rPr>
        <w:t>¶</w:t>
      </w:r>
    </w:p>
    <w:p>
      <w:pPr>
        <w:pStyle w:val="JpRenderedHTMLCommonh2"/>
        <w:spacing w:lineRule="atLeast" w:line="405" w:before="261" w:after="261"/>
        <w:ind w:left="0" w:right="300" w:hanging="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sz w:val="32"/>
          <w:szCs w:val="32"/>
        </w:rPr>
        <w:t>Introduction &amp; Library Imports</w:t>
      </w:r>
      <w:r>
        <w:rPr>
          <w:rStyle w:val="JpRenderedHTMLCommonalink"/>
          <w:b/>
          <w:bCs/>
          <w:vanish/>
          <w:color w:val="106BA3"/>
          <w:sz w:val="32"/>
          <w:szCs w:val="32"/>
          <w:u w:val="none" w:color="106BA3"/>
        </w:rPr>
        <w:t>¶</w:t>
      </w:r>
    </w:p>
    <w:p>
      <w:pPr>
        <w:pStyle w:val="JpRenderedHTMLCommonp"/>
        <w:spacing w:before="0" w:after="210"/>
        <w:ind w:left="0" w:right="300" w:hanging="0"/>
        <w:rPr>
          <w:sz w:val="21"/>
          <w:szCs w:val="21"/>
        </w:rPr>
      </w:pPr>
      <w:r>
        <w:rPr/>
        <w:t>The S&amp;P 500 is the world's most popular stock market index. The largest fund that is benchmarked to this index is the SPDR® S&amp;P 500® ETF Trust. It has more than US$250 billion of assets under management.</w:t>
      </w:r>
    </w:p>
    <w:p>
      <w:pPr>
        <w:pStyle w:val="JpRenderedHTMLCommonanynthlastchild1"/>
        <w:spacing w:before="0" w:after="105"/>
        <w:ind w:left="0" w:right="300" w:hanging="0"/>
        <w:jc w:val="left"/>
        <w:rPr>
          <w:sz w:val="21"/>
          <w:szCs w:val="21"/>
        </w:rPr>
      </w:pPr>
      <w:r>
        <w:rPr/>
        <w:t>The goal of this section of the course is to create a Python script that will accept the value of your portfolio and tell you how many shares of each S&amp;P 500 constituent you should purchase to get an equal-weight version of the index fund.</w:t>
      </w:r>
    </w:p>
    <w:p>
      <w:pPr>
        <w:pStyle w:val="JpRenderedHTMLCommonh2nthchild1"/>
        <w:pBdr/>
        <w:spacing w:lineRule="atLeast" w:line="405" w:before="261" w:after="261"/>
        <w:ind w:left="0" w:right="300" w:hanging="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Adding Our Stocks Data to a Pandas DataFrame</w:t>
      </w:r>
      <w:r>
        <w:rPr>
          <w:rStyle w:val="JpRenderedHTMLCommonalink"/>
          <w:b/>
          <w:bCs/>
          <w:i w:val="false"/>
          <w:iCs w:val="false"/>
          <w:vanish/>
          <w:color w:val="106BA3"/>
          <w:sz w:val="32"/>
          <w:szCs w:val="32"/>
          <w:u w:val="none" w:color="106BA3"/>
        </w:rPr>
        <w:t>¶</w:t>
      </w:r>
    </w:p>
    <w:p>
      <w:pPr>
        <w:pStyle w:val="JpRenderedHTMLCommonanynthlastchild1"/>
        <w:spacing w:before="0" w:after="105"/>
        <w:ind w:left="0" w:right="300" w:hanging="0"/>
        <w:jc w:val="left"/>
        <w:rPr/>
      </w:pPr>
      <w:r>
        <w:rPr/>
        <w:t>The next thing we need to do is add our stock's price and market capitalization to a pandas DataFrame. Think of a DataFrame like the Python version of a spreadsheet. It stores tabular data.</w:t>
      </w:r>
    </w:p>
    <w:p>
      <w:pPr>
        <w:pStyle w:val="CodeMirrorpre"/>
        <w:bidi w:val="0"/>
        <w:spacing w:lineRule="auto" w:line="300" w:before="210" w:after="0"/>
        <w:ind w:left="84" w:right="84" w:hanging="0"/>
        <w:jc w:val="left"/>
        <w:rPr>
          <w:rStyle w:val="Highlightp"/>
          <w:rFonts w:ascii="Courier New" w:hAnsi="Courier New" w:eastAsia="Courier New" w:cs="Courier New"/>
          <w:color w:val="000000"/>
          <w:sz w:val="21"/>
          <w:szCs w:val="21"/>
        </w:rPr>
      </w:pPr>
      <w:r>
        <w:rPr/>
      </w:r>
    </w:p>
    <w:tbl>
      <w:tblPr>
        <w:tblStyle w:val="jp-OutputArea-outputjp-RenderedHTMLCommontable"/>
        <w:tblW w:w="6029" w:type="dxa"/>
        <w:jc w:val="left"/>
        <w:tblInd w:w="90" w:type="dxa"/>
        <w:tblBorders/>
        <w:tblCellMar>
          <w:top w:w="90" w:type="dxa"/>
          <w:left w:w="90" w:type="dxa"/>
          <w:bottom w:w="90" w:type="dxa"/>
          <w:right w:w="90" w:type="dxa"/>
        </w:tblCellMar>
        <w:tblLook w:val="05e0"/>
      </w:tblPr>
      <w:tblGrid>
        <w:gridCol w:w="283"/>
        <w:gridCol w:w="694"/>
        <w:gridCol w:w="706"/>
        <w:gridCol w:w="2006"/>
        <w:gridCol w:w="2340"/>
      </w:tblGrid>
      <w:tr>
        <w:trPr>
          <w:tblHeader w:val="true"/>
        </w:trPr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Ticker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20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 Capitalization</w:t>
            </w:r>
          </w:p>
        </w:tc>
        <w:tc>
          <w:tcPr>
            <w:tcW w:w="2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Number Of Shares to Buy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AAPL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132.97</w:t>
            </w:r>
          </w:p>
        </w:tc>
        <w:tc>
          <w:tcPr>
            <w:tcW w:w="20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2218377462776</w:t>
            </w:r>
          </w:p>
        </w:tc>
        <w:tc>
          <w:tcPr>
            <w:tcW w:w="234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>
      <w:pPr>
        <w:pStyle w:val="JpRenderedHTMLCommonh2nthchild1"/>
        <w:pBdr/>
        <w:spacing w:lineRule="atLeast" w:line="405" w:before="261" w:after="261"/>
        <w:ind w:left="0" w:right="300" w:hanging="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Looping Through The Tickers in Our List of Stocks</w:t>
      </w:r>
      <w:r>
        <w:rPr>
          <w:rStyle w:val="JpRenderedHTMLCommonalink"/>
          <w:b/>
          <w:bCs/>
          <w:i w:val="false"/>
          <w:iCs w:val="false"/>
          <w:vanish/>
          <w:color w:val="106BA3"/>
          <w:sz w:val="32"/>
          <w:szCs w:val="32"/>
          <w:u w:val="none" w:color="106BA3"/>
        </w:rPr>
        <w:t>¶</w:t>
      </w:r>
    </w:p>
    <w:p>
      <w:pPr>
        <w:pStyle w:val="JpRenderedHTMLCommonanynthlastchild1"/>
        <w:spacing w:before="0" w:after="105"/>
        <w:ind w:left="0" w:right="300" w:hanging="0"/>
        <w:jc w:val="left"/>
        <w:rPr>
          <w:sz w:val="21"/>
          <w:szCs w:val="21"/>
        </w:rPr>
      </w:pPr>
      <w:r>
        <w:rPr/>
        <w:t>Using the same logic that we outlined above, we can pull data for all S&amp;P 500 stocks and store their data in the DataFrame using.</w:t>
      </w:r>
    </w:p>
    <w:p>
      <w:pPr>
        <w:pStyle w:val="JpNotebookjpCellnotjpmodactivejpOutputPrompt"/>
        <w:pBdr/>
        <w:spacing w:before="75" w:after="0"/>
        <w:ind w:left="0" w:right="0" w:hanging="0"/>
        <w:jc w:val="right"/>
        <w:rPr/>
      </w:pPr>
      <w:r>
        <w:rPr/>
      </w:r>
    </w:p>
    <w:tbl>
      <w:tblPr>
        <w:tblStyle w:val="jp-OutputArea-outputjp-RenderedHTMLCommontable"/>
        <w:tblW w:w="9270" w:type="dxa"/>
        <w:jc w:val="left"/>
        <w:tblInd w:w="90" w:type="dxa"/>
        <w:tblBorders/>
        <w:tblCellMar>
          <w:top w:w="90" w:type="dxa"/>
          <w:left w:w="90" w:type="dxa"/>
          <w:bottom w:w="90" w:type="dxa"/>
          <w:right w:w="90" w:type="dxa"/>
        </w:tblCellMar>
        <w:tblLook w:val="05e0"/>
      </w:tblPr>
      <w:tblGrid>
        <w:gridCol w:w="283"/>
        <w:gridCol w:w="5244"/>
        <w:gridCol w:w="607"/>
        <w:gridCol w:w="1447"/>
        <w:gridCol w:w="1689"/>
      </w:tblGrid>
      <w:tr>
        <w:trPr>
          <w:tblHeader w:val="true"/>
        </w:trPr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Ticker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 Capitalization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Number Of Shares to Buy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A,AAL,AAP,AAPL,ABBV,ABC,ABMD,ABT,ACN,ADBE,ADI,...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79896403029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CME,CMG,CMI,CMS,CNC,CNP,COF,COG,COO,COP,COST,C...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79896403029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GIS,GL,GLW,GM,GOOG,GOOGL,GPC,GPN,GPS,GRMN,GS,G...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79896403029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MCK,MCO,MDLZ,MDT,MET,MGM,MHK,MKC,MKTX,MLM,MMC,...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79896403029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ROL,ROP,ROST,RSG,RTX,SBAC,SBUX,SCHW,SEE,SHW,SI...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79896403029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>
        <w:trPr/>
        <w:tc>
          <w:tcPr>
            <w:tcW w:w="2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52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YUM,ZBH,ZBRA,ZION,ZTS</w:t>
            </w:r>
          </w:p>
        </w:tc>
        <w:tc>
          <w:tcPr>
            <w:tcW w:w="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101.6</w:t>
            </w:r>
          </w:p>
        </w:tc>
        <w:tc>
          <w:tcPr>
            <w:tcW w:w="14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79896403029</w:t>
            </w:r>
          </w:p>
        </w:tc>
        <w:tc>
          <w:tcPr>
            <w:tcW w:w="16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>
      <w:pPr>
        <w:pStyle w:val="JpRenderedHTMLCommonh2nthchild1"/>
        <w:pBdr/>
        <w:spacing w:lineRule="atLeast" w:line="405" w:before="261" w:after="261"/>
        <w:ind w:left="0" w:right="300" w:hanging="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Improve Of Performance</w:t>
      </w:r>
      <w:r>
        <w:rPr>
          <w:rStyle w:val="JpRenderedHTMLCommonalink"/>
          <w:b/>
          <w:bCs/>
          <w:i w:val="false"/>
          <w:iCs w:val="false"/>
          <w:vanish/>
          <w:color w:val="106BA3"/>
          <w:sz w:val="32"/>
          <w:szCs w:val="32"/>
          <w:u w:val="none" w:color="106BA3"/>
        </w:rPr>
        <w:t>¶</w:t>
      </w:r>
    </w:p>
    <w:p>
      <w:pPr>
        <w:pStyle w:val="JpRenderedHTMLCommonanynthlastchild1"/>
        <w:spacing w:before="0" w:after="105"/>
        <w:ind w:left="0" w:right="300" w:hanging="0"/>
        <w:jc w:val="left"/>
        <w:rPr>
          <w:sz w:val="21"/>
          <w:szCs w:val="21"/>
        </w:rPr>
      </w:pPr>
      <w:r>
        <w:rPr/>
        <w:t>We then splite the data into batches or chunks and see how it responds and then we can be able to deal with the data in a more easier fashion. Because chunked data allows better performance A stock’s performance needs to be placed in the right context to understand it properly. The stock has returned 20% since the beginning of the year when viewing the starting price versus the ending price. It was a bit depressed from the first day.</w:t>
      </w:r>
    </w:p>
    <w:p>
      <w:pPr>
        <w:pStyle w:val="JpRenderedHTMLCommonh2nthchild1"/>
        <w:pBdr/>
        <w:spacing w:lineRule="atLeast" w:line="405" w:before="261" w:after="261"/>
        <w:ind w:left="0" w:right="300" w:hanging="0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Calculating the Number of Shares to Buy</w:t>
      </w:r>
      <w:r>
        <w:rPr>
          <w:rStyle w:val="JpRenderedHTMLCommonalink"/>
          <w:b/>
          <w:bCs/>
          <w:i w:val="false"/>
          <w:iCs w:val="false"/>
          <w:vanish/>
          <w:color w:val="106BA3"/>
          <w:sz w:val="32"/>
          <w:szCs w:val="32"/>
          <w:u w:val="none" w:color="106BA3"/>
        </w:rPr>
        <w:t>¶</w:t>
      </w:r>
    </w:p>
    <w:p>
      <w:pPr>
        <w:pStyle w:val="JpRenderedHTMLCommonp"/>
        <w:spacing w:before="0" w:after="210"/>
        <w:ind w:left="0" w:right="300" w:hanging="0"/>
        <w:rPr>
          <w:sz w:val="21"/>
          <w:szCs w:val="21"/>
        </w:rPr>
      </w:pPr>
      <w:r>
        <w:rPr/>
        <w:t>As you can see in the DataFrame above, we stil haven't calculated the number of shares of each stock to buy.</w:t>
      </w:r>
    </w:p>
    <w:p>
      <w:pPr>
        <w:pStyle w:val="JpRenderedHTMLCommonanynthlastchild1"/>
        <w:spacing w:before="0" w:after="105"/>
        <w:ind w:left="0" w:right="300" w:hanging="0"/>
        <w:jc w:val="left"/>
        <w:rPr/>
      </w:pPr>
      <w:r>
        <w:rPr/>
        <w:t>We'll do that next. We shall use a portfolio of 1000000</w:t>
      </w:r>
    </w:p>
    <w:tbl>
      <w:tblPr>
        <w:tblStyle w:val="jp-OutputArea-outputjp-RenderedHTMLCommontable"/>
        <w:tblW w:w="6236" w:type="dxa"/>
        <w:jc w:val="left"/>
        <w:tblInd w:w="90" w:type="dxa"/>
        <w:tblBorders/>
        <w:tblCellMar>
          <w:top w:w="90" w:type="dxa"/>
          <w:left w:w="90" w:type="dxa"/>
          <w:bottom w:w="90" w:type="dxa"/>
          <w:right w:w="90" w:type="dxa"/>
        </w:tblCellMar>
        <w:tblLook w:val="05e0"/>
      </w:tblPr>
      <w:tblGrid>
        <w:gridCol w:w="490"/>
        <w:gridCol w:w="694"/>
        <w:gridCol w:w="706"/>
        <w:gridCol w:w="2005"/>
        <w:gridCol w:w="2341"/>
      </w:tblGrid>
      <w:tr>
        <w:trPr>
          <w:tblHeader w:val="true"/>
        </w:trPr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Ticker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Market Capitalization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Number Of Shares to Buy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128.35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39931359792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AAL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22.14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13807230299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AAP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163.60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10965207157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AAPL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132.72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2242852134384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ABBV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113.38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196021920613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500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106.24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31863028584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501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ZBH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164.00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35269766310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502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ZBRA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536.99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28010190743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503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ZION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55.42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9169913166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>
        <w:trPr/>
        <w:tc>
          <w:tcPr>
            <w:tcW w:w="4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504</w:t>
            </w:r>
          </w:p>
        </w:tc>
        <w:tc>
          <w:tcPr>
            <w:tcW w:w="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ZTS</w:t>
            </w:r>
          </w:p>
        </w:tc>
        <w:tc>
          <w:tcPr>
            <w:tcW w:w="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162.49</w:t>
            </w:r>
          </w:p>
        </w:tc>
        <w:tc>
          <w:tcPr>
            <w:tcW w:w="200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75834150774</w:t>
            </w:r>
          </w:p>
        </w:tc>
        <w:tc>
          <w:tcPr>
            <w:tcW w:w="23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>
      <w:pPr>
        <w:pStyle w:val="JpRenderedHTMLCommonp"/>
        <w:spacing w:before="0" w:after="210"/>
        <w:ind w:left="0" w:right="30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lineRule="atLeast" w:line="270"/>
      <w:jc w:val="left"/>
    </w:pPr>
    <w:rPr>
      <w:rFonts w:ascii="Segoe UI" w:hAnsi="Segoe UI" w:eastAsia="Segoe UI" w:cs="Segoe UI"/>
      <w:b w:val="false"/>
      <w:bCs w:val="false"/>
      <w:caps w:val="false"/>
      <w:smallCaps w:val="false"/>
      <w:color w:val="182026"/>
      <w:spacing w:val="0"/>
      <w:kern w:val="0"/>
      <w:sz w:val="21"/>
      <w:szCs w:val="21"/>
      <w:lang w:val="en-US" w:eastAsia="zh-CN" w:bidi="hi-IN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character" w:styleId="JpRenderedHTMLCommonalink" w:customStyle="1">
    <w:name w:val="jp-RenderedHTMLCommon_a_link"/>
    <w:basedOn w:val="DefaultParagraphFont"/>
    <w:qFormat/>
    <w:rPr/>
  </w:style>
  <w:style w:type="character" w:styleId="Any" w:customStyle="1">
    <w:name w:val="any"/>
    <w:basedOn w:val="DefaultParagraphFont"/>
    <w:qFormat/>
    <w:rPr/>
  </w:style>
  <w:style w:type="character" w:styleId="Highlighto" w:customStyle="1">
    <w:name w:val="highlight_o"/>
    <w:basedOn w:val="DefaultParagraphFont"/>
    <w:qFormat/>
    <w:rPr>
      <w:b/>
      <w:bCs/>
    </w:rPr>
  </w:style>
  <w:style w:type="character" w:styleId="Highlightp" w:customStyle="1">
    <w:name w:val="highlight_p"/>
    <w:basedOn w:val="DefaultParagraphFont"/>
    <w:qFormat/>
    <w:rPr/>
  </w:style>
  <w:style w:type="character" w:styleId="Highlights1" w:customStyle="1">
    <w:name w:val="highlight_s1"/>
    <w:basedOn w:val="DefaultParagraphFont"/>
    <w:qFormat/>
    <w:rPr/>
  </w:style>
  <w:style w:type="character" w:styleId="Highlightkc" w:customStyle="1">
    <w:name w:val="highlight_kc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JpCellinputWrapper" w:customStyle="1">
    <w:name w:val="jp-Cell-inputWrapper"/>
    <w:basedOn w:val="Normal"/>
    <w:qFormat/>
    <w:pPr>
      <w:pBdr/>
    </w:pPr>
    <w:rPr/>
  </w:style>
  <w:style w:type="paragraph" w:styleId="JpInputPrompt" w:customStyle="1">
    <w:name w:val="jp-InputPrompt"/>
    <w:basedOn w:val="Normal"/>
    <w:qFormat/>
    <w:pPr>
      <w:jc w:val="right"/>
    </w:pPr>
    <w:rPr/>
  </w:style>
  <w:style w:type="paragraph" w:styleId="JpMarkdownOutputjpRenderedHTMLCommon" w:customStyle="1">
    <w:name w:val="jp-MarkdownOutput_jp-RenderedHTMLCommon"/>
    <w:basedOn w:val="Normal"/>
    <w:qFormat/>
    <w:pPr/>
    <w:rPr/>
  </w:style>
  <w:style w:type="paragraph" w:styleId="JpRenderedHTMLCommonh1nthchild1" w:customStyle="1">
    <w:name w:val="jp-RenderedHTMLCommon_h1_nth-child(1)"/>
    <w:basedOn w:val="Normal"/>
    <w:qFormat/>
    <w:pPr/>
    <w:rPr/>
  </w:style>
  <w:style w:type="paragraph" w:styleId="JpRenderedHTMLCommonh2" w:customStyle="1">
    <w:name w:val="jp-RenderedHTMLCommon_h2"/>
    <w:basedOn w:val="Normal"/>
    <w:qFormat/>
    <w:pPr/>
    <w:rPr>
      <w:i w:val="false"/>
      <w:iCs w:val="false"/>
    </w:rPr>
  </w:style>
  <w:style w:type="paragraph" w:styleId="JpRenderedHTMLCommonp" w:customStyle="1">
    <w:name w:val="jp-RenderedHTMLCommon_p"/>
    <w:basedOn w:val="Normal"/>
    <w:qFormat/>
    <w:pPr>
      <w:jc w:val="left"/>
    </w:pPr>
    <w:rPr/>
  </w:style>
  <w:style w:type="paragraph" w:styleId="JpRenderedHTMLCommonanynthlastchild1" w:customStyle="1">
    <w:name w:val="jp-RenderedHTMLCommon &gt; any_nth-last-child(1)"/>
    <w:basedOn w:val="Normal"/>
    <w:qFormat/>
    <w:pPr/>
    <w:rPr/>
  </w:style>
  <w:style w:type="paragraph" w:styleId="JpRenderedHTMLCommonh2nthchild1" w:customStyle="1">
    <w:name w:val="jp-RenderedHTMLCommon_h2_nth-child(1)"/>
    <w:basedOn w:val="Normal"/>
    <w:qFormat/>
    <w:pPr/>
    <w:rPr/>
  </w:style>
  <w:style w:type="paragraph" w:styleId="JpNotebookjpCell" w:customStyle="1">
    <w:name w:val="jp-Notebook_jp-Cell"/>
    <w:basedOn w:val="Normal"/>
    <w:qFormat/>
    <w:pPr/>
    <w:rPr/>
  </w:style>
  <w:style w:type="paragraph" w:styleId="JpInputArea" w:customStyle="1">
    <w:name w:val="jp-InputArea"/>
    <w:basedOn w:val="Normal"/>
    <w:qFormat/>
    <w:pPr/>
    <w:rPr/>
  </w:style>
  <w:style w:type="paragraph" w:styleId="JpNotebookjpCellnotjpmodactivejpInputPrompt" w:customStyle="1">
    <w:name w:val="jp-Notebook_jp-Cell_not(.jp-mod-active)_jp-InputPrompt"/>
    <w:basedOn w:val="Normal"/>
    <w:qFormat/>
    <w:pPr/>
    <w:rPr/>
  </w:style>
  <w:style w:type="paragraph" w:styleId="JpCodeMirrorEditor" w:customStyle="1">
    <w:name w:val="jp-CodeMirrorEditor"/>
    <w:basedOn w:val="Normal"/>
    <w:qFormat/>
    <w:pPr/>
    <w:rPr/>
  </w:style>
  <w:style w:type="paragraph" w:styleId="JpNotebookCodeMirrorcmsjupyter" w:customStyle="1">
    <w:name w:val="jp-Notebook_CodeMirror_cm-s-jupyter"/>
    <w:basedOn w:val="Normal"/>
    <w:qFormat/>
    <w:pPr/>
    <w:rPr/>
  </w:style>
  <w:style w:type="paragraph" w:styleId="Highlight" w:customStyle="1">
    <w:name w:val="highlight"/>
    <w:basedOn w:val="Normal"/>
    <w:qFormat/>
    <w:pPr/>
    <w:rPr/>
  </w:style>
  <w:style w:type="paragraph" w:styleId="CodeMirrorpre" w:customStyle="1">
    <w:name w:val="CodeMirror_pre"/>
    <w:basedOn w:val="Normal"/>
    <w:qFormat/>
    <w:pPr/>
    <w:rPr/>
  </w:style>
  <w:style w:type="paragraph" w:styleId="JpCellnotjpmodnoOutputsjpCelloutputWrapper" w:customStyle="1">
    <w:name w:val="jp-Cell_not(.jp-mod-noOutputs)_jp-Cell-outputWrapper"/>
    <w:basedOn w:val="Normal"/>
    <w:qFormat/>
    <w:pPr/>
    <w:rPr/>
  </w:style>
  <w:style w:type="paragraph" w:styleId="JpOutputArea" w:customStyle="1">
    <w:name w:val="jp-OutputArea"/>
    <w:basedOn w:val="Normal"/>
    <w:qFormat/>
    <w:pPr/>
    <w:rPr/>
  </w:style>
  <w:style w:type="paragraph" w:styleId="JpOutputAreachild" w:customStyle="1">
    <w:name w:val="jp-OutputArea-child"/>
    <w:basedOn w:val="Normal"/>
    <w:qFormat/>
    <w:pPr/>
    <w:rPr/>
  </w:style>
  <w:style w:type="paragraph" w:styleId="JpNotebookjpCellnotjpmodactivejpOutputPrompt" w:customStyle="1">
    <w:name w:val="jp-Notebook_jp-Cell_not(.jp-mod-active)_jp-OutputPrompt"/>
    <w:basedOn w:val="Normal"/>
    <w:qFormat/>
    <w:pPr/>
    <w:rPr/>
  </w:style>
  <w:style w:type="paragraph" w:styleId="JpOutputAreachildjpOutputAreaoutput" w:customStyle="1">
    <w:name w:val="jp-OutputArea-child_jp-OutputArea-output"/>
    <w:basedOn w:val="Normal"/>
    <w:qFormat/>
    <w:pPr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p-OutputArea-outputjp-RenderedHTMLCommontable">
    <w:name w:val="jp-OutputArea-output_jp-RenderedHTMLCommon_table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406</Words>
  <Characters>2119</Characters>
  <CharactersWithSpaces>2410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2021-03-02T20:27:24Z</dcterms:modified>
  <cp:revision>1</cp:revision>
  <dc:subject/>
  <dc:title>001_equal_weight_S&amp;P_500-Copy1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