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Раздел 1. Общие положения</w:t>
      </w:r>
    </w:p>
    <w:p>
      <w:r>
        <w:t>Билет 1. Что включает правоспособность гражданина?</w:t>
      </w:r>
    </w:p>
    <w:p>
      <w:r>
        <w:t>Правоспособность гражданина означает признанную законом способность иметь гражданские права и нести обязанности. Она возникает с момента рождения и прекращается со смертью. Для полного ответа нужно назвать содержание правоспособности, признаки и правовое значение.</w:t>
      </w:r>
    </w:p>
    <w:p>
      <w:r>
        <w:t>Билет 2. Чем отличается дееспособность от правоспособности?</w:t>
      </w:r>
    </w:p>
    <w:p>
      <w:r>
        <w:t>Дееспособность выражает способность гражданина своими действиями приобретать и осуществлять права, создавать обязанности и исполнять их. В отличие от правоспособности она зависит от возраста и состояния лица. В ответе важно сравнить обе категории и показать практическое различие.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