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Arthur Torres</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CEFET-MG — Engenharia de Computação</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t>arthuroliveiratorres@gmail.com</w:t>
      </w:r>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sidRPr="00151F8D">
        <w:rPr>
          <w:rFonts w:ascii="Vale Sans" w:hAnsi="Vale Sans" w:cs="Calibri"/>
          <w:b/>
          <w:bCs/>
        </w:rPr>
        <w:t>Este trabalho desenvolve uma solução de análise preditiva para antecipar alertas críticos (Don't Go) em equipamentos de mineração — caminhões e escavadeiras — a partir de 37.164.054 registros de telemetria coletados entre janeiro e junho de 2025. O desafio incluiu erros de qualidade de dados inseridos intencionalmente, dos quais 3 eram esperados (corrupção de encoding em Criticidade, string literal "NULL" em Classe, vírgula como separador decimal em Valor) e um quarto foi descoberto apenas ao processar o dataset completo: a mesma string "NULL" também aparecia na coluna Valor, afetando 237.443 registros.</w:t>
        <w:br/>
        <w:br/>
        <w:t>A solução foi estruturada como um pipeline ETL reprodutível em 5 notebooks numerados (limpeza, EDA/validação de regras de negócio, feature engineering, treinamento de modelo e relatório final), apoiados por 7 módulos Python testados (64 testes unitários, desenvolvidos com TDD). As features incluem contagens de alarmes em 5 janelas deslizantes (15min a 4h), tempo desde o último alarme crítico, tipo de equipamento e estado operacional — todas calculadas sem vazamento temporal. O modelo é um XGBoost com scale_pos_weight para o desbalanceamento extremo das classes (1,4% a 2,6% de positivos, conforme o horizonte), treinado e avaliado com split temporal (treino: janeiro-abril; teste: maio-junho) para 3 horizontes de previsão (1h, 2h, 4h).</w:t>
        <w:br/>
        <w:br/>
        <w:t>O horizonte de 4h apresentou o melhor F1-score (0,186 no threshold padrão; 0,207 no threshold 0,7), com recall de 57,7% e AUC de 0,767. A análise SHAP revelou que o tipo de equipamento é, isoladamente, a feature mais influente — mais que o dobro do impacto da segunda colocada (tempo desde o último alarme crítico) — sugerindo que o modelo captura majoritariamente um risco-base por tipo de equipamento, com o sinal dinâmico de alarmes contribuindo de forma secundária.</w:t>
        <w:br/>
        <w:br/>
        <w:t>Rodar o pipeline na escala real (37M linhas, 16GB de RAM disponíveis) expôs limitações de implementação que os testes unitários com dados sintéticos não capturavam: colunas de string carregadas como object excediam a memória disponível, e a mesma coluna podia reverter de category para object durante a concatenação de meses com vocabulários diferentes. Ambos os problemas foram corrigidos via TDD antes de prosseguir, junto com uma incompatibilidade conhecida entre as versões pinadas de shap e xgboost na etapa de explicabilidade. O resultado é um pipeline auditável, com cada decisão técnica documentada em spec/DECISIONS.md, e métricas reportadas com transparência — incluindo suas limitações de precisão — em vez de apenas o resultado mais favorável.</w:t>
      </w:r>
      <w:r w:rsidR="00A05319">
        <w:rPr>
          <w:rFonts w:ascii="Vale Sans" w:hAnsi="Vale Sans" w:cs="Calibri"/>
        </w:rPr>
        <w:t/>
      </w:r>
    </w:p>
    <w:p w14:paraId="69163F52" w14:textId="0AB2B27A" w:rsidR="004152DA" w:rsidRPr="00151F8D" w:rsidRDefault="004152DA" w:rsidP="004152DA">
      <w:pPr>
        <w:jc w:val="both"/>
        <w:rPr>
          <w:rFonts w:ascii="Vale Sans" w:hAnsi="Vale Sans" w:cs="Calibri"/>
        </w:rPr>
      </w:pPr>
      <w:r w:rsidRPr="00151F8D">
        <w:rPr>
          <w:rFonts w:ascii="Vale Sans" w:hAnsi="Vale Sans" w:cs="Calibri"/>
          <w:b/>
          <w:bCs/>
        </w:rPr>
        <w:t>Palavras-Chave: Telemetria de Mineração; Manutenção Preditiva; XGBoost; Qualidade de Dados; SHAP</w:t>
      </w:r>
      <w:proofErr w:type="spellStart"/>
      <w:r w:rsidRPr="00151F8D">
        <w:rPr>
          <w:rFonts w:ascii="Vale Sans" w:hAnsi="Vale Sans" w:cs="Calibri"/>
        </w:rPr>
        <w:t/>
      </w:r>
      <w:proofErr w:type="spellEnd"/>
      <w:r w:rsidRPr="00151F8D">
        <w:rPr>
          <w:rFonts w:ascii="Vale Sans" w:hAnsi="Vale Sans" w:cs="Calibri"/>
        </w:rPr>
        <w:t xml:space="preserve"/>
      </w:r>
      <w:proofErr w:type="spellStart"/>
      <w:r w:rsidRPr="00151F8D">
        <w:rPr>
          <w:rFonts w:ascii="Vale Sans" w:hAnsi="Vale Sans" w:cs="Calibri"/>
        </w:rPr>
        <w:t/>
      </w:r>
      <w:proofErr w:type="spellEnd"/>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14:paraId="0F19A47A" w14:textId="2E4A5A86" w:rsidR="002D4AF8" w:rsidRPr="00151F8D" w:rsidRDefault="00A3771B" w:rsidP="001E17D2">
      <w:pPr>
        <w:pStyle w:val="Commarcadores"/>
        <w:numPr>
          <w:ilvl w:val="0"/>
          <w:numId w:val="0"/>
        </w:numPr>
        <w:ind w:firstLine="284"/>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Equipamentos de mineração — caminhões e escavadeiras — geram constantemente alarmes de telemetria que registram o estado operacional e eventos de risco. Entre eles estão os alertas "Don't Go": situações em que o equipamento acumula um número de alarmes de determinado tipo dentro de uma janela de tempo, indicando risco operacional que exige parada ou intervenção. Antecipar esses eventos, em vez de apenas reagir a eles, permite à operação planejar manutenção, reduzir paradas não programadas e mitigar riscos de segurança — exemplificando como dados de telemetria, normalmente usados para diagnóstico retroativo, podem sustentar decisões operacionais proativas.</w:t>
      </w:r>
      <w:r w:rsidR="002D4AF8" w:rsidRPr="00151F8D">
        <w:rPr>
          <w:rFonts w:ascii="Vale Sans" w:eastAsiaTheme="minorHAnsi" w:hAnsi="Vale Sans"/>
          <w:kern w:val="2"/>
          <w:sz w:val="24"/>
          <w:szCs w:val="24"/>
          <w:lang w:val="pt-BR"/>
          <w14:ligatures w14:val="standardContextual"/>
        </w:rPr>
        <w:t/>
      </w:r>
      <w:r w:rsidRPr="00151F8D">
        <w:rPr>
          <w:rFonts w:ascii="Vale Sans" w:eastAsiaTheme="minorHAnsi" w:hAnsi="Vale Sans"/>
          <w:kern w:val="2"/>
          <w:sz w:val="24"/>
          <w:szCs w:val="24"/>
          <w:lang w:val="pt-BR"/>
          <w14:ligatures w14:val="standardContextual"/>
        </w:rPr>
        <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72DA7362" w14:textId="3FC88993" w:rsidR="005060C2" w:rsidRPr="00151F8D" w:rsidRDefault="00A3771B" w:rsidP="002D4AF8">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O objetivo central deste trabalho é construir um pipeline de ETL robusto e reprodutível que limpe, valide e transforme os dados brutos de telemetria em um conjunto de features preditivas, e treinar um modelo de classificação capaz de prever a ocorrência de um Don't Go nas próximas 1h, 2h ou 4h, com avaliação honesta de desempenho (F1, precision, recall, AUC) e explicabilidade via SHAP.</w:t>
      </w:r>
      <w:proofErr w:type="spellStart"/>
      <w:r w:rsidRPr="00151F8D">
        <w:rPr>
          <w:rFonts w:ascii="Vale Sans" w:eastAsiaTheme="minorHAnsi" w:hAnsi="Vale Sans"/>
          <w:kern w:val="2"/>
          <w:sz w:val="24"/>
          <w:szCs w:val="24"/>
          <w:lang w:val="pt-BR"/>
          <w14:ligatures w14:val="standardContextual"/>
        </w:rPr>
        <w:t/>
      </w:r>
      <w:proofErr w:type="spellEnd"/>
      <w:r w:rsidRPr="00151F8D">
        <w:rPr>
          <w:rFonts w:ascii="Vale Sans" w:eastAsiaTheme="minorHAnsi" w:hAnsi="Vale Sans"/>
          <w:kern w:val="2"/>
          <w:sz w:val="24"/>
          <w:szCs w:val="24"/>
          <w:lang w:val="pt-BR"/>
          <w14:ligatures w14:val="standardContextual"/>
        </w:rPr>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14:paraId="21978D02" w14:textId="1E8CBE48" w:rsidR="002D4AF8" w:rsidRPr="00151F8D" w:rsidRDefault="002D4AF8" w:rsidP="001E17D2">
      <w:pPr>
        <w:pStyle w:val="Commarcadores"/>
        <w:numPr>
          <w:ilvl w:val="0"/>
          <w:numId w:val="0"/>
        </w:numPr>
        <w:ind w:firstLine="284"/>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Os dados de telemetria (37.164.054 registros, jan-jun/2025) registram cada alarme emitido por 35 equipamentos (TAGs), classificados por criticidade (crítico, não crítico, informacional) e tipo (caminhão ou escavadeira). Paralelamente, os apontamentos (377.907 registros) descrevem o estado operacional de cada equipamento ao longo do tempo (Operando, Parado, Hibernando, Manutenção). O sinal Is_Dont_Go, presente na telemetria, indica quando um equipamento atingiu o critério de parada definido pelas regras de negócio (136 regras, uma por tipo de alarme, definindo quantidade de ocorrências e janela de tempo). Esses dados existem porque a operação precisa rastrear, auditar e justificar paradas de equipamento — tanto por segurança quanto por eficiência de frota. Antecipar esse sinal, em vez de apenas registrá-lo, é o que transforma esses dados de um registro histórico em uma ferramenta de decisão: o time de operação pode agir antes da parada ocorrer, e não apenas explicá-la depois.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14:paraId="21C4F6C6" w14:textId="77777777" w:rsidR="00151F8D" w:rsidRPr="00151F8D" w:rsidRDefault="00151F8D" w:rsidP="001E17D2">
      <w:pPr>
        <w:pStyle w:val="Commarcadores"/>
        <w:numPr>
          <w:ilvl w:val="0"/>
          <w:numId w:val="0"/>
        </w:numPr>
        <w:ind w:firstLine="284"/>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O pipeline é dividido em 5 notebooks numerados e 7 módulos Python testados (src/loader.py, cleaner.py, validator.py, business_rules.py, features.py, model.py, utils.py — 64 testes unitários, desenvolvidos com TDD). A arquitetura segue: (1) carregamento e limpeza dos 6 arquivos mensais de telemetria e dos apontamentos; (2) EDA e validação das regras de negócio, reproduzindo o sinal Is_Dont_Go via janela deslizante e comparando com o sinal registrado; (3) feature engineering — contagens de alarmes em 5 janelas (15min, 30min, 1h, 2h, 4h), tempo desde o último alarme crítico, tipo de equipamento e estado operacional, calculadas com pandas .rolling() e np.searchsorted (O(n log n) por equipamento, vetorizado — essencial para os 37M registros); (4) treinamento de um XGBoost com scale_pos_weight para o desbalanceamento de classes, split temporal (treino jan-abr, teste mai-jun, nunca aleatório, para não vazar informação do futuro) e avaliação em 3 horizontes; (5) explicabilidade via SHAP e consolidação do relatório final.</w:t>
      </w:r>
    </w:p>
    <w:p w14:paraId="16B02732" w14:textId="34E7EE49" w:rsidR="00151F8D" w:rsidRDefault="00151F8D" w:rsidP="001E17D2">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A principal dificuldade técnica foi escalar o pipeline das fixtures sintéticas usadas nos testes (5 a 15 linhas) para os 37M registros reais, em uma máquina com 16GB de RAM. Colunas de string carregadas como object (em vez de category) projetavam ~30GB de uso de memória; corrigido convertendo para category no carregamento. Um problema mais sutil surgiu na concatenação dos 6 meses: o pandas reverte category para object quando o conjunto de categorias difere entre os meses (TAGs e operadores que só aparecem em parte do ano) — corrigido unificando o CategoricalDtype antes do concat. O mesmo padrão de memória se repetiu na feature current_state (apenas 5 valores possíveis, mas calculada como object) e na cópia de colunas não utilizadas dentro de build_features. Cada um desses problemas foi reproduzido com um teste antes da correção (TDD), e a suíte completa (64 testes) permanece verde. Adicionalmente, o dataset real revelou um quarto erro de qualidade não documentado (string 'NULL' também em Valor, 237.443 registros) e expôs uma incompatibilidade de versão entre shap e xgboost na etapa de explicabilidade, documentados em spec/DECISIONS.md (D008).</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14:paraId="4DAB27B6" w14:textId="0FADB1AF" w:rsidR="00151F8D" w:rsidRPr="00151F8D" w:rsidRDefault="00151F8D" w:rsidP="001E17D2">
      <w:pPr>
        <w:spacing w:after="0" w:line="300" w:lineRule="atLeast"/>
        <w:ind w:firstLine="284"/>
        <w:rPr>
          <w:rFonts w:ascii="Vale Sans" w:eastAsia="Times New Roman" w:hAnsi="Vale Sans" w:cs="Segoe UI"/>
          <w:kern w:val="0"/>
          <w:lang w:eastAsia="pt-BR"/>
          <w14:ligatures w14:val="none"/>
        </w:rPr>
      </w:pPr>
      <w:r w:rsidRPr="00151F8D">
        <w:rPr>
          <w:rFonts w:ascii="Vale Sans" w:eastAsia="Times New Roman" w:hAnsi="Vale Sans" w:cs="Segoe UI"/>
          <w:kern w:val="0"/>
          <w:lang w:eastAsia="pt-BR"/>
          <w14:ligatures w14:val="none"/>
        </w:rPr>
        <w:t>O diagnóstico de qualidade identificou e corrigiu 4 problemas nos 37.164.054 registros de telemetria: 11 registros com corrupção de encoding em Criticidade, 36.104.611 registros com string literal 'NULL' em Classe, 237.443 registros com a mesma string 'NULL' em Valor, e 821.849 registros com vírgula como separador decimal em Valor. A reprodução do sinal Is_Dont_Go via janela deslizante, validada em uma amostra de 50 mil registros contra as 136 regras de negócio, obteve precision de 0,12 e recall de 0,59 — indicando que as regras documentadas capturam a maioria dos casos reais, mas com taxa relevante de falsos positivos.</w:t>
      </w:r>
    </w:p>
    <w:p>
      <w:pPr/>
      <w:r>
        <w:t>O modelo XGBoost foi treinado e avaliado para os 3 horizontes propostos, com split temporal (23.273.520 registros de treino, 13.890.534 de teste). O horizonte de 4 horas apresentou o melhor F1-score (0,186 no threshold 0,5; 0,207 no threshold 0,7), superando 1h (F1=0,114) e 2h (F1=0,143) — mesmo com AUC mais baixo (0,767 vs. 0,883 em 1h), o que indica uma fronteira de decisão mais bem calibrada para a métrica de negócio (F1), ainda que a capacidade geral de ranqueamento (AUC) seja menor. Em todos os horizontes, o recall é consideravelmente maior que a precision (ex: recall=0,577 vs. precision=0,111 em 4h/threshold 0,5) — esperado dado o desbalanceamento extremo das classes e a escolha de scale_pos_weight, que privilegia não perder eventos reais de Don't Go ao custo de mais falsos positivos. Aumentar o threshold para 0,7 melhora a precision (de 0,111 para 0,126) com perda mínima de recall (de 0,577 para 0,574), sugerindo que esse ajuste é preferível ao padrão de 0,5 em produção.</w:t>
      </w:r>
    </w:p>
    <w:p>
      <w:pPr/>
      <w:r>
        <w:t>A análise SHAP para o horizonte de 4h (shap_plots/shap_bar_label_4h.png) revelou que tipo_caminhao (caminhão vs. escavadeira) é, isoladamente, a feature mais influente — mais que o dobro do impacto de time_since_last_critical, a segunda colocada, e muito acima das contagens de alarme em qualquer janela. Esse resultado é uma limitação relevante a ser discutida com transparência: sugere que o modelo aprendeu majoritariamente uma diferença de risco-base entre os dois tipos de equipamento, em vez de um padrão dinâmico fino de comportamento de alarmes antes de um Don't Go. As features de contagem de alarme contribuem, mas com impacto bem menor — alarm_count_4h é a terceira mais relevante, seguida por uma queda abrupta nas janelas mais curtas (30m, 1h, 2h, 15m), coerente com o horizonte de 4h ser o melhor: alarmes acumulados em uma janela mais longa carregam mais sinal preditivo para esse horizonte do que rajadas de curto prazo.</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14:paraId="4A063BCB" w14:textId="240E0A59" w:rsidR="00A05319" w:rsidRPr="00151F8D" w:rsidRDefault="00151F8D" w:rsidP="00A05319">
      <w:pPr>
        <w:spacing w:after="0" w:line="300" w:lineRule="atLeast"/>
        <w:ind w:firstLine="284"/>
        <w:rPr>
          <w:rFonts w:ascii="Vale Sans" w:eastAsia="Times New Roman" w:hAnsi="Vale Sans" w:cs="Segoe UI"/>
          <w:kern w:val="0"/>
          <w:lang w:eastAsia="pt-BR"/>
          <w14:ligatures w14:val="none"/>
        </w:rPr>
      </w:pPr>
      <w:r w:rsidRPr="00151F8D">
        <w:rPr>
          <w:rFonts w:ascii="Vale Sans" w:eastAsia="Times New Roman" w:hAnsi="Vale Sans" w:cs="Segoe UI"/>
          <w:kern w:val="0"/>
          <w:lang w:eastAsia="pt-BR"/>
          <w14:ligatures w14:val="none"/>
        </w:rPr>
        <w:t>O pipeline desenvolvido demonstra que é possível antecipar ocorrências de Don't Go com até 4 horas de antecedência, usando exclusivamente features derivadas do histórico de alarmes de telemetria, com um processo de ETL auditável e testado (64 testes, TDD) que escala dos dados sintéticos de teste até os 37 milhões de registros reais. As métricas obtidas — F1 entre 0,11 e 0,21 — são modestas em termos absolutos, mas refletem honestamente um problema com desbalanceamento extremo (abaixo de 3% de positivos) e uma feature dominante (tipo de equipamento) que sugere espaço real para melhoria nas features dinâmicas antes de uma eventual adoção em produção.</w:t>
      </w:r>
      <w:r>
        <w:rPr>
          <w:rFonts w:ascii="Vale Sans" w:eastAsia="Times New Roman" w:hAnsi="Vale Sans" w:cs="Segoe UI"/>
          <w:kern w:val="0"/>
          <w:lang w:eastAsia="pt-BR"/>
          <w14:ligatures w14:val="none"/>
        </w:rPr>
        <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r>
        <w:t>Investigar por que tipo_caminhao domina o SHAP: treinar modelos separados por tipo de equipamento, ou adicionar interações explícitas, para isolar o sinal dinâmico de alarmes do risco-base por tipo.</w:t>
      </w:r>
    </w:p>
    <w:p>
      <w:pPr>
        <w:pStyle w:val="Commarcadores"/>
      </w:pPr>
      <w:r>
        <w:t>Comparar XGBoost com LightGBM nos 3 horizontes, e testar SMOTE como ablação ao scale_pos_weight.</w:t>
      </w:r>
    </w:p>
    <w:p>
      <w:pPr>
        <w:pStyle w:val="Commarcadores"/>
      </w:pPr>
      <w:r>
        <w:t>Adicionar features de turno, frequência de manutenções recentes e localidade.</w:t>
      </w:r>
    </w:p>
    <w:p>
      <w:pPr>
        <w:pStyle w:val="Commarcadores"/>
      </w:pPr>
      <w:r>
        <w:t>Construir um dashboard (ex: Streamlit) para consulta de risco por equipamento em tempo real.</w:t>
      </w:r>
    </w:p>
    <w:p>
      <w:pPr>
        <w:pStyle w:val="Commarcadores"/>
      </w:pPr>
      <w:r>
        <w:t>Monitorar concept drift na distribuição das features entre os períodos de treino e teste.</w:t>
      </w: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