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образовательное бюджетное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«Финансовый университет при Правительстве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(Финансовый университет)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Благовещенский филиал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Финуниверситета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 стандартизации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Тема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Стандартизация, сертификация и техническое документирование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группы: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18   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Логунов Максим Егорович</w:t>
        <w:tab/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фамилия,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имя,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отчество)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     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   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ab/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before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Специальность (код и наименование специальности):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09.02.05 «Прикладная информатика (по отраслям)» базовой подготовки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(индекс и наименование специальности)</w: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работы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      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       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__________   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Вдовенко Никита Максимович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81280</wp:posOffset>
                </wp:positionV>
                <wp:extent cx="800100" cy="314325"/>
                <wp:effectExtent l="0" t="0" r="19050" b="28575"/>
                <wp:wrapSquare wrapText="bothSides"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197.95pt;mso-position-horizontal:absolute;mso-position-vertical-relative:text;margin-top:6.40pt;mso-position-vertical:absolute;width:63.00pt;height:24.75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(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)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3997665</wp:posOffset>
                </wp:positionH>
                <wp:positionV relativeFrom="paragraph">
                  <wp:posOffset>53340</wp:posOffset>
                </wp:positionV>
                <wp:extent cx="1869100" cy="266700"/>
                <wp:effectExtent l="4762" t="4762" r="4762" b="4762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1869098" cy="266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(фамилия, имя, отчество)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14.78pt;mso-position-horizontal:absolute;mso-position-vertical-relative:text;margin-top:4.20pt;mso-position-vertical:absolute;width:147.17pt;height:21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(фамилия, имя, отчество)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             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Благовещенск</w:t>
      </w:r>
      <m:oMath>
        <m:r>
          <w:rPr>
            <w:rFonts w:ascii="Cambria Math" w:hAnsi="Cambria Math" w:cs="Times New Roman"/>
            <w:sz w:val="28"/>
            <w:szCs w:val="28"/>
          </w:rPr>
          <m:rPr/>
          <m:t>-</m:t>
        </m:r>
      </m:oMath>
      <w:r>
        <w:rPr>
          <w:rFonts w:ascii="Times New Roman" w:hAnsi="Times New Roman" w:cs="Times New Roman"/>
          <w:sz w:val="28"/>
          <w:szCs w:val="28"/>
        </w:rPr>
        <w:t xml:space="preserve">2025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pBdr/>
        <w:spacing w:line="360" w:lineRule="auto"/>
        <w:ind/>
        <w:jc w:val="center"/>
        <w:rPr/>
      </w:pPr>
      <w:r>
        <w:t xml:space="preserve">ЧАСТЬ</w:t>
      </w:r>
      <w:r>
        <w:t xml:space="preserve"> </w:t>
      </w:r>
      <w:r>
        <w:t xml:space="preserve">1. ТЕОРЕТИЧЕСКИЕ ВОПРОСЫ</w:t>
      </w:r>
      <w:r/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1.1 Стандартизация</w:t>
      </w:r>
      <w:r/>
    </w:p>
    <w:p>
      <w:pPr>
        <w:pStyle w:val="875"/>
        <w:pBdr/>
        <w:spacing w:line="360" w:lineRule="auto"/>
        <w:ind/>
        <w:rPr/>
      </w:pPr>
      <w:r>
        <w:t xml:space="preserve">Стандартизация – </w:t>
      </w:r>
      <w:r>
        <w:t xml:space="preserve">деятельность по разработке, опубликованию и применению стандартов, по установлению норм, правил и характеристик</w:t>
      </w:r>
      <w:r/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Общие цели стандартизации: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сближение уровня качества продукции, изготавливаемой в различных странах;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обеспечение взаимозаменяемости элементов сложной продукции;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содействие международной торговле;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содействие взаимному обмену научно-технической информацией и ускорение научно-технического прогресса.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ГОСТ, ОСТ, СТП и ТУ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Г</w:t>
      </w:r>
      <w:r>
        <w:rPr>
          <w:b w:val="0"/>
          <w:bCs w:val="0"/>
          <w:highlight w:val="none"/>
        </w:rPr>
        <w:t xml:space="preserve">ОСТ (государственный стандарт). Разрабатывается на продукцию, имеющую межотраслевое значение. Устанавливает технические требования к продукции, требования безопасности, методы анализа, область и способы применения. В России ГОСТы разрабатываются и утвержда</w:t>
      </w:r>
      <w:r>
        <w:rPr>
          <w:b w:val="0"/>
          <w:bCs w:val="0"/>
          <w:highlight w:val="none"/>
        </w:rPr>
        <w:t xml:space="preserve">ются Федеральным агентством по техническому регулированию и метрологии (Росстандарт) или межгосударственными органами.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СТ (отраслевой стандарт). Разрабатывается применительно к продуктам определённой отрасли. Объектами этих стандартов являются продукция, процессы, услуги, правила по организации работ, типовые конструкции изделий отраслевого применения, правила метрологичес</w:t>
      </w:r>
      <w:r>
        <w:rPr>
          <w:b w:val="0"/>
          <w:bCs w:val="0"/>
          <w:highlight w:val="none"/>
        </w:rPr>
        <w:t xml:space="preserve">кого контроля. В отличие от ГОСТов, ОСТы являются вторичными актами, которые согласуются с их положениями.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</w:t>
      </w:r>
      <w:r>
        <w:rPr>
          <w:b w:val="0"/>
          <w:bCs w:val="0"/>
          <w:highlight w:val="none"/>
        </w:rPr>
        <w:t xml:space="preserve">ТП (стандарт предприятия). Разрабатывается и принимается самим предприятием. Объектами являются составные части производимой продукции (сырья, полуфабрикатов), технологическая оснастка и нормы процесса производства, инструменты и прочее. Ссылка на такой ст</w:t>
      </w:r>
      <w:r>
        <w:rPr>
          <w:b w:val="0"/>
          <w:bCs w:val="0"/>
          <w:highlight w:val="none"/>
        </w:rPr>
        <w:t xml:space="preserve">андарт в договоре делает его обязательным для всех участников договора.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Т</w:t>
      </w:r>
      <w:r>
        <w:rPr>
          <w:b w:val="0"/>
          <w:bCs w:val="0"/>
          <w:highlight w:val="none"/>
        </w:rPr>
        <w:t xml:space="preserve">У (технические условия). Обычно составляются предприятием в том случае, когда стандарт создавать целесообразно. Объектом ТУ часто является продукция разовой поставки. ТУ — технический документ, нормативным он рассматривается в случае ссылки на него в контр</w:t>
      </w:r>
      <w:r>
        <w:rPr>
          <w:b w:val="0"/>
          <w:bCs w:val="0"/>
          <w:highlight w:val="none"/>
        </w:rPr>
        <w:t xml:space="preserve">акте или договоре на поставку продукции. Требования, установленные ТУ, не должны противоречить обязательным требованиям Госстандарта, распространяющимся на данную продукцию.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ЕСКД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Единая система конструкторской документации (ЕСКД) — комплекс стандартов, устанавливающих взаимосвязанные правила, требования и нормы по разработке, оформлению и обращению конструкторской документации.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Основное назначение стандартов ЕСКД:</w:t>
      </w:r>
      <w:r>
        <w:rPr>
          <w:b/>
          <w:bCs/>
        </w:rPr>
      </w:r>
      <w:r>
        <w:rPr>
          <w:b/>
          <w:bCs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полноты и непротиворечивости информации в конструкторской документации;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комплектности и взаимной согласованности конструкторской документации;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обмен и применение конструкторской документации без её переоформления;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унификация и стандартизация при разработке изделия;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сокращение сроков и снижение трудоёмкости подготовки производства;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оптимальной и безопасной эксплуатации изделия;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содействие проведению сертификации изделия.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Основные </w:t>
      </w:r>
      <w:r>
        <w:rPr>
          <w:b/>
          <w:lang w:val="en-US"/>
        </w:rPr>
        <w:t xml:space="preserve"> </w:t>
      </w:r>
      <w:r>
        <w:rPr>
          <w:b/>
          <w:lang w:val="ru-RU"/>
        </w:rPr>
        <w:t xml:space="preserve">категории </w:t>
      </w:r>
      <w:r>
        <w:rPr>
          <w:b/>
        </w:rPr>
        <w:t xml:space="preserve">стандартов по уровню утверждения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Международные стандарты. Утверждаются международной организацией по стандартизации, носят рекомендательный, добровольный характер.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Региональные стандарты. Принимаются региональной организацией, занимающейся стандартизацией, доступны широкому кругу потребителей.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Межгосударственные стандарты (ГОСТ). Принимаются государствами, которые присоединились к соглашению о проведении согласованной политики в области стандартизации, метрологии и сертификации.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Национальные стандарты. Принимаются национальным органом по стандартизации.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Стандарты организаций (СТП). Утверждаются юридическим лицом или индивидуальным предпринимателем, распространяются только на них.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Для чего нужна международная стандартизация (ISO, IEC)?</w:t>
      </w:r>
      <w:r>
        <w:rPr>
          <w:b/>
        </w:rPr>
      </w:r>
      <w:r>
        <w:rPr>
          <w:b/>
        </w:rPr>
      </w:r>
    </w:p>
    <w:p>
      <w:pPr>
        <w:pStyle w:val="875"/>
        <w:pBdr/>
        <w:spacing w:line="360" w:lineRule="auto"/>
        <w:ind/>
        <w:rPr/>
      </w:pPr>
      <w:r>
        <w:t xml:space="preserve">Международная стандартизация </w:t>
      </w:r>
      <w:r>
        <w:t xml:space="preserve"> это стандартизация, участие в которой открыто для соответствующих органов всех стран на Земле.</w:t>
      </w:r>
      <w:r/>
    </w:p>
    <w:p>
      <w:pPr>
        <w:pStyle w:val="875"/>
        <w:pBdr/>
        <w:spacing w:line="360" w:lineRule="auto"/>
        <w:ind/>
        <w:rPr>
          <w:highlight w:val="none"/>
        </w:rPr>
      </w:pPr>
      <w:r>
        <w:t xml:space="preserve">Основное назначени</w:t>
      </w:r>
      <w:r>
        <w:t xml:space="preserve">е международной стандартизации </w:t>
      </w:r>
      <w:r>
        <w:t xml:space="preserve"> создание на международном уровне единой методической основы для разработки новых и совершенствования действующих систем качества и их сертификации.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Международная стандартизация, в том числе работа организаций ISO и IEC, нужна для разных целей, среди которых: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Г</w:t>
      </w:r>
      <w:r>
        <w:rPr>
          <w:highlight w:val="none"/>
        </w:rPr>
        <w:t xml:space="preserve">армонизация стандартов. До появления ISO разные страны придерживались собственных стандартов на продукцию, процессы и обеспечение качества, что усложняло международную торговлю. Стандарты ISO предоставляют единый набор требований для компаний, регулирующих</w:t>
      </w:r>
      <w:r>
        <w:rPr>
          <w:highlight w:val="none"/>
        </w:rPr>
        <w:t xml:space="preserve"> органов и потребителей по всему миру.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Создание пространства всеобщего доверия. Стороны должны быть уверены в безопасности, надёжности, функциональной совместимости и качестве взаимопоставляемой продукции.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Содействие международной торговле. Международные стандарты помогают рынкам быстрее развиваться и увеличивают объём мировой торговли.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Ускорение научно-технического прогресса. Стандарты устанавливают требования к техническому уровню и качеству продукции, сырья, материалов, полуфабрикатов и комплектующих изделий.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Развитие унификации и агрегатирования промышленной продукции. Это важно для специализации производства, комплексной механизации и автоматизации производственных процессов, повышения уровня взаимозаменяемости, эффективности эксплуатации и ремонта изделий.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Обеспечение единства и достоверности измерений. Стандарты включают создание и совершенствование государственных эталонов единиц физических величин, а также методов и средств измерений высшей точности.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Создание благоприятных условий для внешнеторговых, культурных и научно-технических связей. 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 w:firstLine="0"/>
        <w:outlineLvl w:val="1"/>
        <w:rPr>
          <w:highlight w:val="none"/>
        </w:rPr>
      </w:pPr>
      <w:r>
        <w:t xml:space="preserve">1.2</w:t>
      </w:r>
      <w:r>
        <w:t xml:space="preserve"> </w:t>
      </w:r>
      <w:r>
        <w:t xml:space="preserve">Сертификация</w:t>
      </w:r>
      <w:r>
        <w:rPr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/>
      </w:pPr>
      <w:r>
        <w:rPr>
          <w:highlight w:val="none"/>
        </w:rPr>
      </w:r>
      <w:r>
        <w:rPr>
          <w:highlight w:val="none"/>
        </w:rPr>
        <w:t xml:space="preserve">С</w:t>
      </w:r>
      <w:r>
        <w:rPr>
          <w:highlight w:val="none"/>
        </w:rPr>
        <w:t xml:space="preserve">ертификация продукции — это процедура, в ходе которой уполномоченная организация подтверждает соответствие продукции, работ, услуг и процессов установленным нормам и требованиям. На заключительном этапе производителю или продавцу выдают удостоверяющий доку</w:t>
      </w:r>
      <w:r>
        <w:rPr>
          <w:highlight w:val="none"/>
        </w:rPr>
        <w:t xml:space="preserve">мент — сертификат.</w:t>
      </w:r>
      <w:r>
        <w:rPr>
          <w:highlight w:val="none"/>
        </w:rPr>
      </w:r>
      <w:r/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В чем разница между обязательной и добровольной сертификацией?</w:t>
      </w:r>
      <w:r>
        <w:rPr>
          <w:b/>
        </w:rPr>
      </w:r>
      <w:r>
        <w:rPr>
          <w:b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Основное отличие обязательной сертификации от добровольной заключается в правовом статусе каждой процедуры и целях, с которыми она проводится.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бязательная сертификация проводится в соответствии с законом и касается строго определённых категорий товаров. Основная её цель — подтверждение безопасности товара для здоровья потребителей и окружающей среды. Без такого документа выпуск, импорт или продаж</w:t>
      </w:r>
      <w:r>
        <w:rPr>
          <w:b w:val="0"/>
          <w:bCs w:val="0"/>
          <w:highlight w:val="none"/>
        </w:rPr>
        <w:t xml:space="preserve">а продукции невозможны.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Добровольная сертификация проводится по инициативе самого предпринимателя. Она не заменяет обязательную, но помогает подчеркнуть качество и конкурентные преимущества продукции, а также повысить доверие покупателей и партнёров.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Некоторые другие различия между обязательной и добровольной сертификацией: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</w:t>
      </w:r>
      <w:r>
        <w:rPr>
          <w:b w:val="0"/>
          <w:bCs w:val="0"/>
          <w:highlight w:val="none"/>
        </w:rPr>
        <w:t xml:space="preserve">фера использования. Обязательная сертификация применяется для категорий продукции, которые входят в Единый перечень товаров, подлежащих обязательной сертификации, например, для продуктов питания, косметики, игрушек, бытовой техники и пр.. Добровольная серт</w:t>
      </w:r>
      <w:r>
        <w:rPr>
          <w:b w:val="0"/>
          <w:bCs w:val="0"/>
          <w:highlight w:val="none"/>
        </w:rPr>
        <w:t xml:space="preserve">ификация может применяться к любым продуктам и услугам по усмотрению производителя или поставщика.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Ч</w:t>
      </w:r>
      <w:r>
        <w:rPr>
          <w:b w:val="0"/>
          <w:bCs w:val="0"/>
          <w:highlight w:val="none"/>
        </w:rPr>
        <w:t xml:space="preserve">то требует подтверждения. Обязательная сертификация требует подтверждения основных показателей безопасности и соответствия установленным техническим регламентам. Добровольная сертификация позволяет проверить дополнительные свойства продукта, которые могут </w:t>
      </w:r>
      <w:r>
        <w:rPr>
          <w:b w:val="0"/>
          <w:bCs w:val="0"/>
          <w:highlight w:val="none"/>
        </w:rPr>
        <w:t xml:space="preserve">иметь значение для отдельных групп потребителей или рынков, например, соответствие международным стандартам или сертификация по внутренним стандартам компании.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Основание для проведения. Обязательная сертификация предписана законодательством. Добровольная сертификация проводится исключительно по инициативе производителя, чтобы подчеркнуть особые качества продукции.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собенности бланка. Бланки сертификатов для обязательной сертификации обычно имеют государственную защиту и специальный формат, утверждённый соответствующими органами. Добровольные сертификаты могут выпускаться на обычных бланках, но с обязательным указание</w:t>
      </w:r>
      <w:r>
        <w:rPr>
          <w:b w:val="0"/>
          <w:bCs w:val="0"/>
          <w:highlight w:val="none"/>
        </w:rPr>
        <w:t xml:space="preserve">м данных сертификационного органа.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З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нак соответствия и знак обращения на рынке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Знак соответствия — обозначение, которое подтверждает соответствие продукции требованиям системы сертификации.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Знак обращения на рынке — обозначение, служащее для информирования приобретателей (потребителей) о соответствии выпускаемой в обращение продукции </w:t>
      </w:r>
      <w:r>
        <w:rPr>
          <w:b w:val="0"/>
          <w:bCs w:val="0"/>
          <w:highlight w:val="none"/>
        </w:rPr>
        <w:t xml:space="preserve">требованиям технических регламентов.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Этапы процедуры сертификации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0"/>
        <w:pBdr/>
        <w:spacing w:line="360" w:lineRule="auto"/>
        <w:ind/>
        <w:rPr/>
      </w:pPr>
      <w:r>
        <w:t xml:space="preserve">Обращение заявителя в уполномоченный орган. Это может быть любое аккредитованное </w:t>
      </w:r>
      <w:r>
        <w:t xml:space="preserve">юрлицо</w:t>
      </w:r>
      <w:r>
        <w:t xml:space="preserve"> или ИП. В основном процедурой занимаются специальные центры и лаборатории. Некоторые виды сертификации проводят государственные органы.</w:t>
      </w:r>
      <w:r/>
    </w:p>
    <w:p>
      <w:pPr>
        <w:pStyle w:val="880"/>
        <w:pBdr/>
        <w:spacing w:line="360" w:lineRule="auto"/>
        <w:ind/>
        <w:rPr/>
      </w:pPr>
      <w:r>
        <w:t xml:space="preserve">П</w:t>
      </w:r>
      <w:r>
        <w:t xml:space="preserve">одача заявки. Обычно в ней указывают общие сведения о компании, коды классификации товаров, нормативную базу. К заявке прикладывают учредительные и регистрационные акты компании, ТУ, СТО, техпаспорта и инструкции на продукцию, другие необходимые документы.</w:t>
      </w:r>
      <w:r/>
    </w:p>
    <w:p>
      <w:pPr>
        <w:pStyle w:val="880"/>
        <w:pBdr/>
        <w:spacing w:line="360" w:lineRule="auto"/>
        <w:ind/>
        <w:rPr/>
      </w:pPr>
      <w:r>
        <w:t xml:space="preserve">Оценка соответст</w:t>
      </w:r>
      <w:r>
        <w:t xml:space="preserve">вия. Формат этого этапа зависит от объекта сертификации. Если речь идёт о товарах, то лаборатория или другой орган по её поручению отбирает образцы продукции для испытаний, тестов, измерений и других исследований. Результаты фиксируют в протоколах и актах.</w:t>
      </w:r>
      <w:r/>
    </w:p>
    <w:p>
      <w:pPr>
        <w:pStyle w:val="880"/>
        <w:pBdr/>
        <w:spacing w:line="360" w:lineRule="auto"/>
        <w:ind/>
        <w:rPr/>
      </w:pPr>
      <w:r>
        <w:t xml:space="preserve">Принятие решения. По итогам работы исполнитель решает, выдать ли заказчику сертификат или отказать. Во втором случае заявитель получает соответствующий документ с причиной отказа.</w:t>
      </w:r>
      <w:r/>
    </w:p>
    <w:p>
      <w:pPr>
        <w:pStyle w:val="880"/>
        <w:pBdr/>
        <w:spacing w:line="360" w:lineRule="auto"/>
        <w:ind/>
        <w:rPr/>
      </w:pPr>
      <w:r>
        <w:t xml:space="preserve">Выдача сертификата. При положительном решении исполнитель выдаёт заказчику удостоверяющий документ и регистрирует его в общем реестре.</w:t>
      </w:r>
      <w:r/>
    </w:p>
    <w:p>
      <w:pPr>
        <w:pStyle w:val="880"/>
        <w:pBdr/>
        <w:spacing w:line="360" w:lineRule="auto"/>
        <w:ind/>
        <w:rPr/>
      </w:pPr>
      <w:r>
        <w:t xml:space="preserve">Маркировка. Если процедура была добровольной, заказчик имеет право на маркировку товаров знаком соответствия. При обязательной сертификации заявитель обязан маркировать товар знаком обращения на рынке.</w:t>
      </w:r>
      <w:r/>
    </w:p>
    <w:p>
      <w:pPr>
        <w:pStyle w:val="880"/>
        <w:pBdr/>
        <w:spacing w:line="360" w:lineRule="auto"/>
        <w:ind/>
        <w:rPr/>
      </w:pPr>
      <w:r>
        <w:t xml:space="preserve">Инспекционный контроль. Он возможен только в случае, если это </w:t>
      </w:r>
      <w:r>
        <w:t xml:space="preserve">предусмотрено схемой сертификации. Плановые и внеплановые проверки проводят в течение срока действия удостоверяющего документа.</w:t>
      </w:r>
      <w:r/>
    </w:p>
    <w:p>
      <w:pPr>
        <w:pStyle w:val="880"/>
        <w:numPr>
          <w:ilvl w:val="0"/>
          <w:numId w:val="0"/>
        </w:numPr>
        <w:pBdr/>
        <w:spacing w:line="360" w:lineRule="auto"/>
        <w:ind w:firstLine="0" w:left="709"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Декларация соответствия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>
          <w:highlight w:val="none"/>
        </w:rPr>
      </w:pPr>
      <w:r>
        <w:t xml:space="preserve">Декларация соответствия </w:t>
      </w:r>
      <w:r>
        <w:t xml:space="preserve"> это документ, подтверждающий, что продукция импортера или изготовителя соответствует установленным нормам качества и безопасности на государственном уровне.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1.3 </w:t>
      </w:r>
      <w:r>
        <w:t xml:space="preserve">Техническое документирование</w:t>
      </w:r>
      <w:r/>
    </w:p>
    <w:p>
      <w:pPr>
        <w:pStyle w:val="875"/>
        <w:pBdr/>
        <w:spacing w:line="360" w:lineRule="auto"/>
        <w:ind/>
        <w:rPr>
          <w:u w:val="single"/>
        </w:rPr>
      </w:pPr>
      <w:r>
        <w:rPr>
          <w:u w:val="single"/>
        </w:rPr>
        <w:t xml:space="preserve">Некоторые виды технической документации:</w:t>
      </w:r>
      <w:r>
        <w:rPr>
          <w:u w:val="single"/>
        </w:rPr>
      </w:r>
      <w:r>
        <w:rPr>
          <w:u w:val="single"/>
        </w:rPr>
      </w:r>
    </w:p>
    <w:p>
      <w:pPr>
        <w:pStyle w:val="880"/>
        <w:pBdr/>
        <w:spacing w:line="360" w:lineRule="auto"/>
        <w:ind/>
        <w:rPr/>
      </w:pPr>
      <w:r>
        <w:t xml:space="preserve">Конструкторская. Включает чертежи, спецификации, расчётные записки и другие материалы, необходимые для создания изделия.</w:t>
      </w:r>
      <w:r/>
    </w:p>
    <w:p>
      <w:pPr>
        <w:pStyle w:val="880"/>
        <w:pBdr/>
        <w:spacing w:line="360" w:lineRule="auto"/>
        <w:ind/>
        <w:rPr/>
      </w:pPr>
      <w:r>
        <w:t xml:space="preserve">Технологическая. Содержит информацию о процессах изготовления, методах контроля и испытаний.</w:t>
      </w:r>
      <w:r/>
    </w:p>
    <w:p>
      <w:pPr>
        <w:pStyle w:val="880"/>
        <w:pBdr/>
        <w:spacing w:line="360" w:lineRule="auto"/>
        <w:ind/>
        <w:rPr/>
      </w:pPr>
      <w:r>
        <w:t xml:space="preserve">Эксплуатационная. Включает руководства по эксплуатации, инструкции по техническому обслуживанию и ремонту.</w:t>
      </w:r>
      <w:r/>
    </w:p>
    <w:p>
      <w:pPr>
        <w:pStyle w:val="880"/>
        <w:pBdr/>
        <w:spacing w:line="360" w:lineRule="auto"/>
        <w:ind/>
        <w:rPr/>
      </w:pPr>
      <w:r>
        <w:t xml:space="preserve">Программная. Включает технические задания, спецификации и описание программных продуктов.</w:t>
      </w:r>
      <w:r/>
    </w:p>
    <w:p>
      <w:pPr>
        <w:pStyle w:val="880"/>
        <w:pBdr/>
        <w:spacing w:line="360" w:lineRule="auto"/>
        <w:ind/>
        <w:rPr/>
      </w:pPr>
      <w:r>
        <w:t xml:space="preserve">Проектная. Комплекс документов, необходимых для реализации строительных и инженерных проектов. Включает генпланы, архитектурные решения и расчёты.</w:t>
      </w:r>
      <w:r/>
    </w:p>
    <w:p>
      <w:pPr>
        <w:pStyle w:val="880"/>
        <w:pBdr/>
        <w:spacing w:line="360" w:lineRule="auto"/>
        <w:ind/>
        <w:rPr/>
      </w:pPr>
      <w:r>
        <w:t xml:space="preserve">Нормативная. Включает стандарты, технические условия и регламенты, устанавливающие обязательные требования к продукции и процессам.</w:t>
      </w:r>
      <w:r/>
    </w:p>
    <w:p>
      <w:pPr>
        <w:pStyle w:val="880"/>
        <w:pBdr/>
        <w:spacing w:line="360" w:lineRule="auto"/>
        <w:ind/>
        <w:rPr/>
      </w:pPr>
      <w:r>
        <w:t xml:space="preserve">Документация по качеству. Включает процедуры контроля, планы проверок и протоколы испытаний.</w:t>
      </w:r>
      <w:r/>
    </w:p>
    <w:p>
      <w:pPr>
        <w:pStyle w:val="880"/>
        <w:pBdr/>
        <w:spacing w:line="360" w:lineRule="auto"/>
        <w:ind/>
        <w:rPr/>
      </w:pPr>
      <w:r>
        <w:t xml:space="preserve">Паспорт изделия. Содержит сведения о технических характеристиках, комплектности, номерах серий и условиях эксплуатации.</w:t>
      </w:r>
      <w:r/>
    </w:p>
    <w:p>
      <w:pPr>
        <w:pStyle w:val="880"/>
        <w:pBdr/>
        <w:spacing w:line="360" w:lineRule="auto"/>
        <w:ind/>
        <w:rPr/>
      </w:pPr>
      <w:r>
        <w:t xml:space="preserve">Руководство по эксплуатации. Описывает порядок монтажа, ввода в действие, работы, технического обслуживания и утилизации, а также включает меры предосторожности и требования безопасности.</w:t>
      </w:r>
      <w:r/>
    </w:p>
    <w:p>
      <w:pPr>
        <w:pStyle w:val="880"/>
        <w:pBdr/>
        <w:spacing w:line="360" w:lineRule="auto"/>
        <w:ind/>
        <w:rPr/>
      </w:pPr>
      <w:r>
        <w:t xml:space="preserve">Технические условия на продукцию. Являются нормативным документом, в котором устанавливаются требования к качеству, составу, упаковке, маркировке и методам испытаний продукции, не охваченной </w:t>
      </w:r>
      <w:r>
        <w:t xml:space="preserve">ГОСТами.</w:t>
      </w:r>
      <w:r/>
    </w:p>
    <w:p>
      <w:pPr>
        <w:pStyle w:val="880"/>
        <w:pBdr/>
        <w:spacing w:line="360" w:lineRule="auto"/>
        <w:ind/>
        <w:rPr/>
      </w:pPr>
      <w:r>
        <w:t xml:space="preserve">Обоснования безопасности. Разрабатывается для подтверждения соответствия продукции требованиям технических регламентов и правил, особенно если речь идёт об опасных или потенциально опасных объектах.</w:t>
      </w:r>
      <w:r/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Основные требования ГОСТ по оформлению текстовых документов.</w:t>
      </w:r>
      <w:r>
        <w:rPr>
          <w:b/>
        </w:rPr>
      </w:r>
      <w:r>
        <w:rPr>
          <w:b/>
        </w:rPr>
      </w:r>
    </w:p>
    <w:p>
      <w:pPr>
        <w:pStyle w:val="880"/>
        <w:pBdr/>
        <w:spacing w:line="360" w:lineRule="auto"/>
        <w:ind/>
        <w:rPr/>
      </w:pPr>
      <w:r>
        <w:t xml:space="preserve">Шрифт: для основного текста </w:t>
      </w:r>
      <w:r>
        <w:t xml:space="preserve"> </w:t>
      </w:r>
      <w:r>
        <w:t xml:space="preserve">Times</w:t>
      </w:r>
      <w:r>
        <w:t xml:space="preserve"> </w:t>
      </w:r>
      <w:r>
        <w:t xml:space="preserve">New</w:t>
      </w:r>
      <w:r>
        <w:t xml:space="preserve"> </w:t>
      </w:r>
      <w:r>
        <w:t xml:space="preserve">Roman</w:t>
      </w:r>
      <w:r>
        <w:t xml:space="preserve"> или </w:t>
      </w:r>
      <w:r>
        <w:t xml:space="preserve">Arial</w:t>
      </w:r>
      <w:r>
        <w:t xml:space="preserve"> размером 14, для приложений, примечаний, сносок и примеров </w:t>
      </w:r>
      <w:r>
        <w:t xml:space="preserve"> 12. Допускается использование шрифта размером 13 и 11 для основного текста и размером 12 и 10 для приложений, примечаний, сносок и примеров. </w:t>
      </w:r>
      <w:r/>
    </w:p>
    <w:p>
      <w:pPr>
        <w:pStyle w:val="880"/>
        <w:pBdr/>
        <w:spacing w:line="360" w:lineRule="auto"/>
        <w:ind/>
        <w:rPr/>
      </w:pPr>
      <w:r>
        <w:t xml:space="preserve">Перенос слов: допускается использовать перенос в словах, кроме заголовков. Текст оформляют с использованием полуторного межстрочного интервала, допускается использование двойного. </w:t>
      </w:r>
      <w:r/>
    </w:p>
    <w:p>
      <w:pPr>
        <w:pStyle w:val="880"/>
        <w:pBdr/>
        <w:spacing w:line="360" w:lineRule="auto"/>
        <w:ind/>
        <w:rPr/>
      </w:pPr>
      <w:r>
        <w:t xml:space="preserve">Расстояние от рамки: в начале и в конце строк </w:t>
      </w:r>
      <w:r>
        <w:t xml:space="preserve"> не менее 3 мм, от верхней или нижней строки текста до верхней или нижней рамки </w:t>
      </w:r>
      <w:r>
        <w:t xml:space="preserve"> не менее 10 мм. </w:t>
      </w:r>
      <w:r/>
    </w:p>
    <w:p>
      <w:pPr>
        <w:pStyle w:val="880"/>
        <w:pBdr/>
        <w:spacing w:line="360" w:lineRule="auto"/>
        <w:ind/>
        <w:rPr/>
      </w:pPr>
      <w:r>
        <w:t xml:space="preserve">Абзацы: начинают с отступа, равным пяти знакам используемой гарнитуры шрифта (12,5–17 мм). Для текста, выполняемого машинописным способом, абзацный отступ выполняют равным пяти ударам пишущей машинки. </w:t>
      </w:r>
      <w:r/>
    </w:p>
    <w:p>
      <w:pPr>
        <w:pStyle w:val="880"/>
        <w:pBdr/>
        <w:spacing w:line="360" w:lineRule="auto"/>
        <w:ind/>
        <w:rPr/>
      </w:pPr>
      <w:r>
        <w:t xml:space="preserve">Опечатки и графические неточности: допускается исправлять подчисткой или закрашиванием корректирующей жидкостью белого цвета и нанесением на том же месте исправленного текста (графики). </w:t>
      </w:r>
      <w:r/>
    </w:p>
    <w:p>
      <w:pPr>
        <w:pStyle w:val="880"/>
        <w:pBdr/>
        <w:spacing w:line="360" w:lineRule="auto"/>
        <w:ind/>
        <w:rPr/>
      </w:pPr>
      <w:r>
        <w:t xml:space="preserve">Структура: текст документа может содержать разделы, подразделы, пункты, подпункты, нумеруемые арабскими цифрами. Уровней рубрикации текста не должно быть более четырёх.</w:t>
      </w:r>
      <w:r/>
    </w:p>
    <w:p>
      <w:pPr>
        <w:pStyle w:val="880"/>
        <w:numPr>
          <w:ilvl w:val="0"/>
          <w:numId w:val="0"/>
        </w:numPr>
        <w:pBdr/>
        <w:spacing w:line="360" w:lineRule="auto"/>
        <w:ind w:firstLine="0" w:left="709"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Спецификация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/>
      </w:pPr>
      <w:r>
        <w:t xml:space="preserve">Спецификация </w:t>
      </w:r>
      <w:r>
        <w:t xml:space="preserve"> это документ, в котором подробно описываются требования, характеристики и параметры объекта, процесса или системы. Может использоваться в различных областях, таких как инженерия, программирование, строительство, производство и другие.</w:t>
      </w:r>
      <w:r/>
    </w:p>
    <w:p>
      <w:pPr>
        <w:pStyle w:val="875"/>
        <w:pBdr/>
        <w:spacing w:line="360" w:lineRule="auto"/>
        <w:ind/>
        <w:rPr/>
      </w:pPr>
      <w:r>
        <w:t xml:space="preserve">Она </w:t>
      </w:r>
      <w:r>
        <w:t xml:space="preserve">используется</w:t>
      </w:r>
      <w:r>
        <w:t xml:space="preserve"> для:</w:t>
      </w:r>
      <w:r/>
    </w:p>
    <w:p>
      <w:pPr>
        <w:pStyle w:val="880"/>
        <w:pBdr/>
        <w:spacing w:line="360" w:lineRule="auto"/>
        <w:ind/>
        <w:rPr/>
      </w:pPr>
      <w:r>
        <w:t xml:space="preserve">Чёткого формулирования требований к продукту или услуге, что позволяет избежать недопонимания между участниками проекта или сторонами </w:t>
      </w:r>
      <w:r>
        <w:t xml:space="preserve">договора.</w:t>
      </w:r>
      <w:r/>
    </w:p>
    <w:p>
      <w:pPr>
        <w:pStyle w:val="880"/>
        <w:pBdr/>
        <w:spacing w:line="360" w:lineRule="auto"/>
        <w:ind/>
        <w:rPr/>
      </w:pPr>
      <w:r>
        <w:t xml:space="preserve">Детализации условий договора </w:t>
      </w:r>
      <w:r>
        <w:t xml:space="preserve"> документ содержит подробную информацию об обязательствах одной стороны перед другой, включая характеристики поставляемых изделий, их количество, стоимость и условия доставки.</w:t>
      </w:r>
      <w:r/>
    </w:p>
    <w:p>
      <w:pPr>
        <w:pStyle w:val="880"/>
        <w:pBdr/>
        <w:spacing w:line="360" w:lineRule="auto"/>
        <w:ind/>
        <w:rPr/>
      </w:pPr>
      <w:r>
        <w:t xml:space="preserve">Контроля качества </w:t>
      </w:r>
      <w:r>
        <w:t xml:space="preserve"> спецификация помогает проверить соответствие конечного продукта или услуги установленным требованиям и стандартам.</w:t>
      </w:r>
      <w:r/>
    </w:p>
    <w:p>
      <w:pPr>
        <w:pStyle w:val="87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1f2328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1f2328"/>
          <w:sz w:val="28"/>
          <w:szCs w:val="28"/>
          <w:highlight w:val="white"/>
        </w:rPr>
        <w:t xml:space="preserve">сновные форматы конструкторских документов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в мм: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0"/>
        <w:pBdr/>
        <w:spacing w:line="360" w:lineRule="auto"/>
        <w:ind/>
        <w:rPr/>
      </w:pPr>
      <w:r>
        <w:t xml:space="preserve">А0 </w:t>
      </w:r>
      <w:r>
        <w:t xml:space="preserve"> 841 × 1189;</w:t>
      </w:r>
      <w:r/>
    </w:p>
    <w:p>
      <w:pPr>
        <w:pStyle w:val="880"/>
        <w:pBdr/>
        <w:spacing w:line="360" w:lineRule="auto"/>
        <w:ind/>
        <w:rPr/>
      </w:pPr>
      <w:r>
        <w:t xml:space="preserve">А1 </w:t>
      </w:r>
      <w:r>
        <w:t xml:space="preserve"> 594 × 841;</w:t>
      </w:r>
      <w:r/>
    </w:p>
    <w:p>
      <w:pPr>
        <w:pStyle w:val="880"/>
        <w:pBdr/>
        <w:spacing w:line="360" w:lineRule="auto"/>
        <w:ind/>
        <w:rPr/>
      </w:pPr>
      <w:r>
        <w:t xml:space="preserve">А2 </w:t>
      </w:r>
      <w:r>
        <w:t xml:space="preserve"> 420 × 594;</w:t>
      </w:r>
      <w:r/>
    </w:p>
    <w:p>
      <w:pPr>
        <w:pStyle w:val="880"/>
        <w:pBdr/>
        <w:spacing w:line="360" w:lineRule="auto"/>
        <w:ind/>
        <w:rPr/>
      </w:pPr>
      <w:r>
        <w:t xml:space="preserve">А3 </w:t>
      </w:r>
      <w:r>
        <w:t xml:space="preserve"> 297 × 420;</w:t>
      </w:r>
      <w:r/>
    </w:p>
    <w:p>
      <w:pPr>
        <w:pStyle w:val="880"/>
        <w:pBdr/>
        <w:spacing w:line="360" w:lineRule="auto"/>
        <w:ind/>
        <w:rPr/>
      </w:pPr>
      <w:r>
        <w:t xml:space="preserve">А4 </w:t>
      </w:r>
      <w:r>
        <w:t xml:space="preserve"> 210 × 297.</w:t>
      </w:r>
      <w:r/>
    </w:p>
    <w:p>
      <w:pPr>
        <w:pStyle w:val="875"/>
        <w:pBdr/>
        <w:spacing w:line="360" w:lineRule="auto"/>
        <w:ind/>
        <w:jc w:val="center"/>
        <w:rPr>
          <w:b/>
          <w:lang w:eastAsia="ru-RU"/>
        </w:rPr>
      </w:pPr>
      <w:r>
        <w:rPr>
          <w:b/>
          <w:lang w:eastAsia="ru-RU"/>
        </w:rPr>
        <w:t xml:space="preserve">Правила</w:t>
      </w:r>
      <w:r>
        <w:rPr>
          <w:b/>
          <w:lang w:eastAsia="ru-RU"/>
        </w:rPr>
        <w:t xml:space="preserve">для</w:t>
      </w:r>
      <w:r>
        <w:rPr>
          <w:b/>
          <w:lang w:eastAsia="ru-RU"/>
        </w:rPr>
        <w:t xml:space="preserve"> н</w:t>
      </w:r>
      <w:r>
        <w:rPr>
          <w:b/>
          <w:lang w:eastAsia="ru-RU"/>
        </w:rPr>
        <w:t xml:space="preserve">умерации разделов и подразделов</w:t>
      </w:r>
      <w:r>
        <w:rPr>
          <w:b/>
          <w:lang w:eastAsia="ru-RU"/>
        </w:rPr>
      </w:r>
      <w:r>
        <w:rPr>
          <w:b/>
          <w:lang w:eastAsia="ru-RU"/>
        </w:rPr>
      </w:r>
    </w:p>
    <w:p>
      <w:pPr>
        <w:pStyle w:val="875"/>
        <w:pBdr/>
        <w:spacing w:line="360" w:lineRule="auto"/>
        <w:ind/>
        <w:rPr/>
      </w:pPr>
      <w:r>
        <w:t xml:space="preserve">Разделы должны иметь порядковые номера в пределах всего документа (части, книги), обозначенные арабскими цифрами без точки и записанные с абзацного отступа. </w:t>
      </w:r>
      <w:r/>
    </w:p>
    <w:p>
      <w:pPr>
        <w:pStyle w:val="875"/>
        <w:pBdr/>
        <w:spacing w:line="360" w:lineRule="auto"/>
        <w:ind/>
        <w:rPr/>
      </w:pPr>
      <w:r>
        <w:t xml:space="preserve">Подразделы должны иметь нумерацию в пределах каждого раздела. Номер подраздела состоит из номеров раздела и подраздела, разделённых точкой, при этом в конце номера подраздела точка не ставится. </w:t>
      </w:r>
      <w:r/>
    </w:p>
    <w:p>
      <w:pPr>
        <w:pStyle w:val="875"/>
        <w:pBdr/>
        <w:spacing w:line="360" w:lineRule="auto"/>
        <w:ind/>
        <w:rPr/>
      </w:pPr>
      <w:r>
        <w:t xml:space="preserve">Если документ не имеет подразделов, то нумерация пунктов в нём должна быть в пределах каждого раздела, а номер пункта должен состоять из номеров раздела и пункта, разделённых точкой. В конце номера пункта точка не ставится. </w:t>
      </w:r>
      <w:r/>
    </w:p>
    <w:p>
      <w:pPr>
        <w:pStyle w:val="875"/>
        <w:pBdr/>
        <w:spacing w:line="360" w:lineRule="auto"/>
        <w:ind/>
        <w:rPr/>
      </w:pPr>
      <w:r>
        <w:t xml:space="preserve">Если документ имеет подразделы, то нумерация пунктов должна быть в пределах подраздела, а номер пункта должен состоять из номеров раздела, подраздела и пункта, разделённых точками. </w:t>
      </w:r>
      <w:r/>
    </w:p>
    <w:p>
      <w:pPr>
        <w:pStyle w:val="875"/>
        <w:pBdr/>
        <w:spacing w:line="360" w:lineRule="auto"/>
        <w:ind/>
        <w:rPr/>
      </w:pPr>
      <w:r>
        <w:t xml:space="preserve">Если раздел или подраздел состоит из одного пункта, он также нумеруется. </w:t>
      </w:r>
      <w:r/>
    </w:p>
    <w:p>
      <w:pPr>
        <w:pStyle w:val="875"/>
        <w:pBdr/>
        <w:spacing w:line="360" w:lineRule="auto"/>
        <w:ind/>
        <w:rPr/>
      </w:pPr>
      <w:r>
        <w:t xml:space="preserve">Каждый раздел текстового документа рекомендуется начинать с нового листа (страницы).</w:t>
      </w:r>
      <w:r/>
    </w:p>
    <w:p>
      <w:pPr>
        <w:pStyle w:val="875"/>
        <w:pBdr/>
        <w:spacing w:line="360" w:lineRule="auto"/>
        <w:ind/>
        <w:rPr/>
      </w:pPr>
      <w:r>
        <w:t xml:space="preserve">В документе большого объёма на первом (заглавном) листе и, при </w:t>
      </w:r>
      <w:r>
        <w:t xml:space="preserve">необходимости, на последующих листах помещают содержание, включающее номера и наименования разделов и подразделов с указанием номеров листов (страниц).</w:t>
      </w:r>
      <w:r/>
    </w:p>
    <w:p>
      <w:pPr>
        <w:pStyle w:val="878"/>
        <w:pBdr/>
        <w:spacing w:line="360" w:lineRule="auto"/>
        <w:ind/>
        <w:rPr/>
      </w:pPr>
      <w:r>
        <w:t xml:space="preserve">ЧАСТЬ 2 ПРАКТИЧЕСКИЕ ЗАДАНИЯ</w:t>
      </w:r>
      <w:r/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2.1 Работа по стандартам</w:t>
      </w:r>
      <w:r/>
    </w:p>
    <w:p>
      <w:pPr>
        <w:pStyle w:val="875"/>
        <w:pBdr/>
        <w:spacing w:line="360" w:lineRule="auto"/>
        <w:ind/>
        <w:rPr/>
      </w:pPr>
      <w:r>
        <w:t xml:space="preserve">Настоящий стандарт устанавливает форматы листов чертежей и других</w:t>
      </w:r>
      <w:r>
        <w:t xml:space="preserve"> документов, </w:t>
      </w:r>
      <w:r>
        <w:t xml:space="preserve">выполненных в электронной и (или) бумажной форме, предусмотренных стандартами на</w:t>
      </w:r>
      <w:r>
        <w:t xml:space="preserve"> </w:t>
      </w:r>
      <w:r>
        <w:t xml:space="preserve">конструкторскую документацию всех отраслей промышленности и строительства.</w:t>
      </w:r>
      <w:r/>
    </w:p>
    <w:p>
      <w:pPr>
        <w:pStyle w:val="875"/>
        <w:pBdr/>
        <w:spacing w:line="360" w:lineRule="auto"/>
        <w:ind/>
        <w:rPr/>
      </w:pPr>
      <w:r>
        <w:t xml:space="preserve">Форматы листов определяются размерами внешней ра</w:t>
      </w:r>
      <w:r>
        <w:t xml:space="preserve">мки (выполненной тонкой линией) </w:t>
      </w:r>
      <w:r>
        <w:t xml:space="preserve">оригиналов, </w:t>
      </w:r>
      <w:r>
        <w:t xml:space="preserve">подлинников, дубликатов, копий.</w:t>
      </w:r>
      <w:r/>
    </w:p>
    <w:p>
      <w:pPr>
        <w:pStyle w:val="875"/>
        <w:pBdr/>
        <w:spacing w:line="360" w:lineRule="auto"/>
        <w:ind/>
        <w:rPr/>
      </w:pPr>
      <w:r>
        <w:t xml:space="preserve">При выводе документа в электронной форме на бумажный носи</w:t>
      </w:r>
      <w:r>
        <w:t xml:space="preserve">тель с размерами сторон листа, </w:t>
      </w:r>
      <w:r>
        <w:t xml:space="preserve">совпадающими с указанными в табл.1, внешнюю рамку формата допускается не выполнять. Если</w:t>
      </w:r>
      <w:r>
        <w:t xml:space="preserve"> </w:t>
      </w:r>
      <w:r>
        <w:t xml:space="preserve">размеры сторон листа больше указанных в табл.1, то внешняя рамка формата должна быть</w:t>
      </w:r>
      <w:r>
        <w:t xml:space="preserve"> воспроизведена</w:t>
      </w:r>
      <w:r/>
    </w:p>
    <w:p>
      <w:pPr>
        <w:pStyle w:val="875"/>
        <w:pBdr/>
        <w:spacing w:line="360" w:lineRule="auto"/>
        <w:ind/>
        <w:rPr/>
      </w:pPr>
      <w:r>
        <w:t xml:space="preserve">Формат с размерами сторон 1189х841 мм, площадь которого равна</w:t>
      </w:r>
      <w:r>
        <w:t xml:space="preserve"> 1 </w:t>
      </w:r>
      <w:r>
        <w:t xml:space="preserve">м ,</w:t>
      </w:r>
      <w:r>
        <w:t xml:space="preserve"> и другие форматы, </w:t>
      </w:r>
      <w:r>
        <w:t xml:space="preserve">полученные путем последовательного деления его на две равные части параллельно меньшей</w:t>
      </w:r>
      <w:r>
        <w:t xml:space="preserve"> </w:t>
      </w:r>
      <w:r>
        <w:t xml:space="preserve">стороне соответствующего формата, принимаются за основные.</w:t>
      </w:r>
      <w:r/>
    </w:p>
    <w:p>
      <w:pPr>
        <w:pStyle w:val="875"/>
        <w:pBdr/>
        <w:spacing w:line="360" w:lineRule="auto"/>
        <w:ind/>
        <w:rPr/>
      </w:pPr>
      <w:r>
        <w:t xml:space="preserve">Обозначения и размеры сторон основных форматов дол</w:t>
      </w:r>
      <w:r>
        <w:t xml:space="preserve">жны соответствовать указанным в </w:t>
      </w:r>
      <w:r>
        <w:t xml:space="preserve">табл</w:t>
      </w:r>
      <w:r>
        <w:t xml:space="preserve">ица</w:t>
      </w:r>
      <w:r>
        <w:t xml:space="preserve">.1.</w:t>
      </w:r>
      <w:r/>
    </w:p>
    <w:p>
      <w:pPr>
        <w:pStyle w:val="875"/>
        <w:pBdr/>
        <w:spacing w:line="360" w:lineRule="auto"/>
        <w:ind/>
        <w:rPr/>
      </w:pPr>
      <w:r/>
      <w:r/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Обозначение формата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Размеры сторон формата, мм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А0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841х1189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А1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 841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А2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420х594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А3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297х420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А4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210х297</w:t>
            </w:r>
            <w:r/>
          </w:p>
        </w:tc>
      </w:tr>
    </w:tbl>
    <w:p>
      <w:pPr>
        <w:pStyle w:val="875"/>
        <w:pBdr/>
        <w:spacing w:line="360" w:lineRule="auto"/>
        <w:ind w:firstLine="0"/>
        <w:jc w:val="center"/>
        <w:rPr/>
      </w:pPr>
      <w:r>
        <w:t xml:space="preserve">Таблица 1</w:t>
      </w:r>
      <w:r/>
    </w:p>
    <w:p>
      <w:pPr>
        <w:pStyle w:val="875"/>
        <w:pBdr/>
        <w:spacing w:line="360" w:lineRule="auto"/>
        <w:ind/>
        <w:rPr/>
      </w:pPr>
      <w:r>
        <w:t xml:space="preserve">При необходимости допускается применять формат А5 с размерами сторон 148х210 мм.</w:t>
      </w:r>
      <w:r/>
    </w:p>
    <w:p>
      <w:pPr>
        <w:pStyle w:val="875"/>
        <w:pBdr/>
        <w:spacing w:line="360" w:lineRule="auto"/>
        <w:ind/>
        <w:rPr/>
      </w:pPr>
      <w:r>
        <w:t xml:space="preserve">Допускается применение дополнительных форматов, образуемых увеличением коротких сторон основных форматов на величину, кратную их </w:t>
      </w:r>
      <w:r>
        <w:t xml:space="preserve">размерам. Размеры производных форматов, как правило, следует выбирать по табл.2. Обозначение производного формата составляется из обозначения основного формата и его кратности согласно табл.2, например, А0х2, А4х8 и т.д.</w:t>
      </w:r>
      <w:r/>
    </w:p>
    <w:p>
      <w:pPr>
        <w:pStyle w:val="875"/>
        <w:pBdr/>
        <w:spacing w:line="360" w:lineRule="auto"/>
        <w:ind/>
        <w:jc w:val="center"/>
        <w:rPr/>
      </w:pPr>
      <w:r>
        <w:t xml:space="preserve">мм</w:t>
      </w:r>
      <w:r/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1600"/>
        <w:gridCol w:w="1601"/>
        <w:gridCol w:w="1605"/>
        <w:gridCol w:w="1605"/>
        <w:gridCol w:w="1605"/>
        <w:gridCol w:w="1612"/>
      </w:tblGrid>
      <w:tr>
        <w:trPr/>
        <w:tc>
          <w:tcPr>
            <w:tcBorders/>
            <w:tcW w:w="1601" w:type="dxa"/>
            <w:vMerge w:val="restart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Кратность</w:t>
            </w:r>
            <w:r/>
          </w:p>
        </w:tc>
        <w:tc>
          <w:tcPr>
            <w:gridSpan w:val="5"/>
            <w:tcBorders/>
            <w:tcW w:w="8027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Формат</w:t>
            </w:r>
            <w:r/>
          </w:p>
        </w:tc>
      </w:tr>
      <w:tr>
        <w:trPr/>
        <w:tc>
          <w:tcPr>
            <w:tcBorders/>
            <w:tcW w:w="1601" w:type="dxa"/>
            <w:vMerge w:val="continue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А0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А1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А2</w:t>
            </w:r>
            <w:r/>
          </w:p>
        </w:tc>
        <w:tc>
          <w:tcPr>
            <w:tcBorders/>
            <w:tcW w:w="1603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А3</w:t>
            </w:r>
            <w:r/>
          </w:p>
        </w:tc>
        <w:tc>
          <w:tcPr>
            <w:tcBorders/>
            <w:tcW w:w="161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А4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1189х1682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1189х2523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841х1783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594х1261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420х891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297х630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841х2378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594х1682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420х1189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297х841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594х2102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420х1486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297х1051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420х1783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297х1261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420х2080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297х1471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297х1682</w:t>
            </w:r>
            <w:r/>
          </w:p>
        </w:tc>
      </w:tr>
      <w:tr>
        <w:trPr/>
        <w:tc>
          <w:tcPr>
            <w:tcBorders/>
            <w:tcW w:w="1601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1602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297х1892</w:t>
            </w:r>
            <w:r/>
          </w:p>
        </w:tc>
      </w:tr>
    </w:tbl>
    <w:p>
      <w:pPr>
        <w:pStyle w:val="875"/>
        <w:pBdr/>
        <w:spacing w:line="360" w:lineRule="auto"/>
        <w:ind/>
        <w:jc w:val="center"/>
        <w:rPr/>
      </w:pPr>
      <w:r>
        <w:t xml:space="preserve">Таблица 2</w:t>
      </w:r>
      <w:r/>
    </w:p>
    <w:p>
      <w:pPr>
        <w:pStyle w:val="875"/>
        <w:pBdr/>
        <w:spacing w:line="360" w:lineRule="auto"/>
        <w:ind/>
        <w:rPr/>
      </w:pPr>
      <w:r>
        <w:t xml:space="preserve">Предельные отклонения сторон форматов - по табл.3.</w:t>
      </w:r>
      <w:r/>
    </w:p>
    <w:p>
      <w:pPr>
        <w:pStyle w:val="875"/>
        <w:pBdr/>
        <w:spacing w:line="360" w:lineRule="auto"/>
        <w:ind/>
        <w:jc w:val="center"/>
        <w:rPr/>
      </w:pPr>
      <w:r>
        <w:t xml:space="preserve">мм</w:t>
      </w:r>
      <w:r/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Размеры сторон форматов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Предельные отклонения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До 150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1,5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Св. 150 до 600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2,0</w:t>
            </w:r>
            <w:r/>
          </w:p>
        </w:tc>
      </w:tr>
      <w:tr>
        <w:trPr/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Св. до 600</w:t>
            </w:r>
            <w:r/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3,0</w:t>
            </w:r>
            <w:r/>
          </w:p>
        </w:tc>
      </w:tr>
    </w:tbl>
    <w:p>
      <w:pPr>
        <w:pStyle w:val="875"/>
        <w:pBdr/>
        <w:spacing w:line="360" w:lineRule="auto"/>
        <w:ind/>
        <w:jc w:val="center"/>
        <w:rPr/>
      </w:pPr>
      <w:r>
        <w:t xml:space="preserve">Таблица 3</w:t>
      </w:r>
      <w:r/>
    </w:p>
    <w:p>
      <w:pPr>
        <w:pStyle w:val="875"/>
        <w:pBdr/>
        <w:spacing w:line="360" w:lineRule="auto"/>
        <w:ind/>
        <w:rPr/>
      </w:pPr>
      <w:r>
        <w:t xml:space="preserve">Документы в электронной форме в своей реквизитной час</w:t>
      </w:r>
      <w:r>
        <w:t xml:space="preserve">ти должны содержать обозначение </w:t>
      </w:r>
      <w:r>
        <w:t xml:space="preserve">формата листа бумажного носителя, при выводе на который масштаб отображения будет</w:t>
      </w:r>
      <w:r>
        <w:t xml:space="preserve"> </w:t>
      </w:r>
      <w:r>
        <w:t xml:space="preserve">соответствовать указанному</w:t>
      </w:r>
      <w:r/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5"/>
        <w:pBdr/>
        <w:spacing w:line="240" w:lineRule="auto"/>
        <w:ind/>
        <w:outlineLvl w:val="1"/>
        <w:rPr>
          <w:highlight w:val="none"/>
        </w:rPr>
      </w:pPr>
      <w:r>
        <w:t xml:space="preserve">2.2 </w:t>
      </w:r>
      <w:r>
        <w:t xml:space="preserve">Оформление титульного листа</w:t>
      </w:r>
      <w:r/>
    </w:p>
    <w:p>
      <w:pPr>
        <w:pStyle w:val="875"/>
        <w:pBdr/>
        <w:spacing w:line="240" w:lineRule="auto"/>
        <w:ind/>
        <w:outlineLvl w:val="1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образовательное бюджетное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«Финансовый университет при Правительстве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(Финансовый университет)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Благовещенский филиал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Финуниверситета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 стандартизации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Тема «Стандартизация, сертификация и техническое документирование»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 группы: 218   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Логунов Максим Егорович</w:t>
        <w:tab/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фамилия,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имя,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отчество)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     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   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ab/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before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Специальность (код и наименование специальности):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09.02.05 «Прикладная информатика (по отраслям)» базовой подготовки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(индекс и наименование специальности)</w: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работы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      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       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__________   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Вдовенко Никита Максимович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81280</wp:posOffset>
                </wp:positionV>
                <wp:extent cx="800100" cy="314325"/>
                <wp:effectExtent l="0" t="0" r="19050" b="28575"/>
                <wp:wrapSquare wrapText="bothSides"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(подпись)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97.95pt;mso-position-horizontal:absolute;mso-position-vertical-relative:text;margin-top:6.40pt;mso-position-vertical:absolute;width:63.00pt;height:24.75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(подпись)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3978615</wp:posOffset>
                </wp:positionH>
                <wp:positionV relativeFrom="paragraph">
                  <wp:posOffset>53340</wp:posOffset>
                </wp:positionV>
                <wp:extent cx="1866900" cy="266700"/>
                <wp:effectExtent l="4762" t="4762" r="4762" b="4762"/>
                <wp:wrapSquare wrapText="bothSides"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1866899" cy="266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фамилия,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имя,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отчество)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63360;o:allowoverlap:true;o:allowincell:true;mso-position-horizontal-relative:text;margin-left:313.28pt;mso-position-horizontal:absolute;mso-position-vertical-relative:text;margin-top:4.20pt;mso-position-vertical:absolute;width:147.00pt;height:21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(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фамилия,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имя,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отчество)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             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Благовещенск</w:t>
      </w:r>
      <m:oMath>
        <m:r>
          <w:rPr>
            <w:rFonts w:ascii="Cambria Math" w:hAnsi="Cambria Math" w:cs="Times New Roman"/>
            <w:sz w:val="28"/>
            <w:szCs w:val="28"/>
          </w:rPr>
          <m:rPr/>
          <m:t>-</m:t>
        </m:r>
      </m:oMath>
      <w:r>
        <w:rPr>
          <w:rFonts w:ascii="Times New Roman" w:hAnsi="Times New Roman" w:cs="Times New Roman"/>
          <w:sz w:val="28"/>
          <w:szCs w:val="28"/>
        </w:rPr>
        <w:t xml:space="preserve">2025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5"/>
        <w:pBdr/>
        <w:spacing/>
        <w:ind w:firstLine="0"/>
        <w:outlineLvl w:val="1"/>
        <w:rPr/>
      </w:pPr>
      <w:r>
        <w:t xml:space="preserve">2.3</w:t>
      </w:r>
      <w:r>
        <w:t xml:space="preserve"> Создание характеристик</w:t>
      </w:r>
      <w:r/>
      <w:r/>
    </w:p>
    <w:p>
      <w:pPr>
        <w:pStyle w:val="875"/>
        <w:pBdr/>
        <w:spacing/>
        <w:ind/>
        <w:rPr/>
      </w:pPr>
      <w:r>
        <w:t xml:space="preserve">Спецификация на компьютерный стол</w:t>
      </w:r>
      <w:r/>
      <w:r/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1093"/>
        <w:gridCol w:w="1386"/>
        <w:gridCol w:w="1775"/>
        <w:gridCol w:w="2082"/>
        <w:gridCol w:w="1083"/>
        <w:gridCol w:w="2209"/>
      </w:tblGrid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Зона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Позиция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Обозначение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Наименование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Кол.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Примечание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Компьютерный стол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Основное изделие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КС-002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Столешница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Изготавливается из МДФ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КС-003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Ножка (передняя)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КС-004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Ножка (задняя)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КС-005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Полка для клавиатуры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КС-006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Ящик для документов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7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7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КС-007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Фурнитура (винты, крепеж)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Для сборки стола</w:t>
            </w:r>
            <w:r/>
            <w:r/>
          </w:p>
        </w:tc>
      </w:tr>
      <w:tr>
        <w:trPr/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8</w:t>
            </w:r>
            <w:r/>
            <w:r/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8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КС-008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Инструкция по сборке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В комплекте</w:t>
            </w:r>
            <w:r/>
            <w:r/>
          </w:p>
        </w:tc>
      </w:tr>
    </w:tbl>
    <w:p>
      <w:pPr>
        <w:pStyle w:val="875"/>
        <w:pBdr/>
        <w:spacing/>
        <w:ind/>
        <w:rPr/>
      </w:pPr>
      <w:r/>
      <w:r/>
      <w:r/>
    </w:p>
    <w:p>
      <w:pPr>
        <w:pStyle w:val="875"/>
        <w:pBdr/>
        <w:spacing/>
        <w:ind/>
        <w:jc w:val="center"/>
        <w:rPr>
          <w:b/>
        </w:rPr>
      </w:pPr>
      <w:r>
        <w:rPr>
          <w:b/>
        </w:rPr>
        <w:t xml:space="preserve">Разделы характеристик:</w:t>
      </w:r>
      <w:r>
        <w:rPr>
          <w:b/>
        </w:rPr>
      </w:r>
      <w:r>
        <w:rPr>
          <w:b/>
        </w:rPr>
      </w:r>
    </w:p>
    <w:p>
      <w:pPr>
        <w:pStyle w:val="875"/>
        <w:pBdr/>
        <w:spacing/>
        <w:ind/>
        <w:rPr/>
      </w:pPr>
      <w:r>
        <w:t xml:space="preserve">Документация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Инструкция по сборке (КС-008)</w:t>
      </w:r>
      <w:r/>
      <w:r/>
    </w:p>
    <w:p>
      <w:pPr>
        <w:pStyle w:val="875"/>
        <w:pBdr/>
        <w:spacing/>
        <w:ind/>
        <w:rPr/>
      </w:pPr>
      <w:r>
        <w:t xml:space="preserve">Комплексы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Компьютерный стол (КС-001)</w:t>
      </w:r>
      <w:r/>
      <w:r/>
    </w:p>
    <w:p>
      <w:pPr>
        <w:pStyle w:val="875"/>
        <w:pBdr/>
        <w:spacing/>
        <w:ind/>
        <w:rPr/>
      </w:pPr>
      <w:r>
        <w:t xml:space="preserve">Сборочные материалы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Фурнитура (КС-007)</w:t>
      </w:r>
      <w:r/>
      <w:r/>
    </w:p>
    <w:p>
      <w:pPr>
        <w:pStyle w:val="875"/>
        <w:pBdr/>
        <w:spacing/>
        <w:ind/>
        <w:rPr/>
      </w:pPr>
      <w:r>
        <w:t xml:space="preserve">Детали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Столешница (КС-002)</w:t>
      </w:r>
      <w:r/>
      <w:r/>
    </w:p>
    <w:p>
      <w:pPr>
        <w:pStyle w:val="880"/>
        <w:pBdr/>
        <w:spacing/>
        <w:ind/>
        <w:rPr/>
      </w:pPr>
      <w:r>
        <w:t xml:space="preserve">Ножка (передняя) (КС-003)</w:t>
      </w:r>
      <w:r/>
      <w:r/>
    </w:p>
    <w:p>
      <w:pPr>
        <w:pStyle w:val="880"/>
        <w:pBdr/>
        <w:spacing/>
        <w:ind/>
        <w:rPr/>
      </w:pPr>
      <w:r>
        <w:t xml:space="preserve">• Ножка (задняя) (КС-004)</w:t>
      </w:r>
      <w:r/>
      <w:r/>
    </w:p>
    <w:p>
      <w:pPr>
        <w:pStyle w:val="880"/>
        <w:pBdr/>
        <w:spacing/>
        <w:ind w:right="0" w:firstLine="709" w:left="0"/>
        <w:rPr/>
      </w:pPr>
      <w:r>
        <w:t xml:space="preserve">• Полка для клавиатуры (КС-005)</w:t>
      </w:r>
      <w:r/>
      <w:r/>
    </w:p>
    <w:p>
      <w:pPr>
        <w:pStyle w:val="880"/>
        <w:pBdr/>
        <w:spacing/>
        <w:ind/>
        <w:rPr/>
      </w:pPr>
      <w:r>
        <w:t xml:space="preserve">• Ящик для документов (КС-006)</w:t>
      </w:r>
      <w:r/>
      <w:r/>
    </w:p>
    <w:p>
      <w:pPr>
        <w:pStyle w:val="875"/>
        <w:pBdr/>
        <w:spacing/>
        <w:ind/>
        <w:rPr/>
      </w:pPr>
      <w:r>
        <w:t xml:space="preserve">Стандартные</w:t>
      </w:r>
      <w:r>
        <w:t xml:space="preserve"> изделия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Фур</w:t>
      </w:r>
      <w:r>
        <w:t xml:space="preserve">нитура (винты, крепеж) (КС-007)</w:t>
      </w:r>
      <w:r/>
      <w:r/>
    </w:p>
    <w:p>
      <w:pPr>
        <w:pStyle w:val="875"/>
        <w:pBdr/>
        <w:spacing/>
        <w:ind/>
        <w:rPr/>
      </w:pPr>
      <w:r>
        <w:t xml:space="preserve">Материалы</w:t>
      </w:r>
      <w:r>
        <w:t xml:space="preserve">:</w:t>
      </w:r>
      <w:r/>
      <w:r/>
    </w:p>
    <w:p>
      <w:pPr>
        <w:pStyle w:val="880"/>
        <w:pBdr/>
        <w:spacing/>
        <w:ind/>
        <w:rPr/>
      </w:pPr>
      <w:r>
        <w:t xml:space="preserve">МДФ для столешницы, полки и ящика</w:t>
      </w:r>
      <w:r/>
      <w:r/>
    </w:p>
    <w:p>
      <w:pPr>
        <w:pStyle w:val="880"/>
        <w:pBdr/>
        <w:spacing/>
        <w:ind/>
        <w:rPr/>
      </w:pPr>
      <w:r>
        <w:t xml:space="preserve">Металл для ножек</w:t>
      </w:r>
      <w:r/>
      <w:r/>
    </w:p>
    <w:p>
      <w:pPr>
        <w:pStyle w:val="875"/>
        <w:pBdr/>
        <w:spacing/>
        <w:ind/>
        <w:rPr/>
      </w:pPr>
      <w:r>
        <w:t xml:space="preserve">Комплекты</w:t>
      </w:r>
      <w:r>
        <w:t xml:space="preserve">:</w:t>
      </w:r>
      <w:r/>
      <w:r/>
    </w:p>
    <w:p>
      <w:pPr>
        <w:pStyle w:val="875"/>
        <w:pBdr/>
        <w:spacing/>
        <w:ind/>
        <w:rPr/>
      </w:pPr>
      <w:r>
        <w:t xml:space="preserve">Комплект для сборки компьютерного стола (включает все указанные детали и фурнитуру)</w:t>
      </w:r>
      <w:r/>
      <w:r/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2.4 </w:t>
      </w:r>
      <w:r>
        <w:t xml:space="preserve">Анализ сертификата соответствия</w:t>
      </w:r>
      <w:r/>
      <w:r/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Анализ гипотетического сертификата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Сертификат № РОСС RU.АА89.В12345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Орган по сертификации: ООО «Промсертификация»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Срок действия: с 01 января 2025 г. по 31 декабря 2028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0"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Нормативные документы, которым соответствует продукция: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2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ГОСТ Р 50274-2020 («Безопасность оборудования общего назначения»)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2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Технический регламент Таможенного союза ТР ТС 010/2011 («О безопасности машин и оборудования»)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Наименование продукции: Электрический чайник марки «ТермоТех»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Схема сертификации: Сертификат выдан по схеме 1с (оценка серийного производства с последующим инспекционным контролем).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ЧАСТЬ 3 КОНТРОЛЬНОЕ ЗАДАНИЕ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 Тестирование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1. ГОСТ расшифровывается как: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Государственный отраслевой стандарт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Государственный общий стандарт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в) Государственный стандарт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2. Формат А4 имеет размеры: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297×420 мм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б) 210×297 мм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148×210 мм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 Обязательная сертификация проводится для: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Всех видов продукции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б) Продукция, включенная в перечень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Только импортной продукции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4. Основная надпись на чертежах означает: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а) В нижней части шкафа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В нижнем шкафу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По центру листа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5. ЕСКД - эта система соответствует: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а) Единая система конструкторской документации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Единая система классификации документов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Документация по единой системе контроля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3.2 Практическая работа</w:t>
      </w:r>
      <w:r/>
      <w:r/>
    </w:p>
    <w:p>
      <w:pPr>
        <w:pBdr/>
        <w:spacing w:line="360" w:lineRule="auto"/>
        <w:ind w:left="0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Комплект документации технического изделия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Название изделия: Полка настенная деревянная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Чертеж общего вида с основной надписью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8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Название чертежа: Общий вид полки настенной деревянной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7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Обозначение: ПОЛКА-НД-01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6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Масштаб: 1:1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5"/>
        </w:numPr>
        <w:pBdr/>
        <w:spacing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Основная надпись: Основные размеры указаны в миллиметрах.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8"/>
          <w:szCs w:val="28"/>
        </w:rPr>
        <w:t xml:space="preserve">Спецификация всех составных частей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f0f2" w:fill="eff0f2"/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</w:rPr>
        <w:t xml:space="preserve">Таблица спецификации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f0f2" w:fill="eff0f2"/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r>
    </w:p>
    <w:tbl>
      <w:tblPr>
        <w:tblStyle w:val="88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112"/>
        <w:gridCol w:w="2601"/>
        <w:gridCol w:w="1355"/>
        <w:gridCol w:w="1201"/>
        <w:gridCol w:w="2085"/>
      </w:tblGrid>
      <w:tr>
        <w:trPr/>
        <w:tc>
          <w:tcPr>
            <w:tcBorders/>
            <w:tcW w:w="2112" w:type="dxa"/>
            <w:vAlign w:val="bottom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Обозначение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01" w:type="dxa"/>
            <w:vAlign w:val="bottom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355" w:type="dxa"/>
            <w:vAlign w:val="bottom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01" w:type="dxa"/>
            <w:vAlign w:val="bottom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Материал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085" w:type="dxa"/>
            <w:vAlign w:val="bottom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112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ПОЛКА-НД-01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Полка настенная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35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1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Древесина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08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Основа конструкции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112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КРЕПЛЕНИЕ-КР-01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Крепление (саморез)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35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6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Сталь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08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Для крепления к стене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112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ОПОРА-ОП-01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6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Опора (поддерживающая)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35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2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201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Древесина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085" w:type="dxa"/>
            <w:vAlign w:val="top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Дополнительная опора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 w:firstLine="0" w:left="709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Пояснительная записка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Назначение изделия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7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Настенная полка предназначена для хранения книг, декоративных предметов интерьера и небольших бытовых вещей. Изделие рассчитано на установку в жилых помещениях и офисах.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Технические характеристики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Габаритные размеры: длина 600 мм × ширина 100 мм × толщина 20 мм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Максимальная нагрузка: 20 кг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Вес изделия: около 3 кг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Способ установки: навесной монтаж на стену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Используемые материалы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3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Основой конструкции является древесина твердых пород дерева (дуб, бук). Используется также сталь для крепежных элементов (саморезы).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Применяемые стандарты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2.307-68 (Допуски и посадки деталей)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2.109-73 (ЕСКД. Основные надписи)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16371-2014 (Изделия деревянные строительные)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6838" w:orient="landscape" w:w="11906"/>
      <w:pgMar w:top="1134" w:right="567" w:bottom="1134" w:left="1701" w:header="709" w:footer="56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723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88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70"/>
    <w:next w:val="870"/>
    <w:link w:val="69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71"/>
    <w:link w:val="69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870"/>
    <w:next w:val="870"/>
    <w:link w:val="69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71"/>
    <w:link w:val="69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98">
    <w:name w:val="Heading 3"/>
    <w:basedOn w:val="870"/>
    <w:next w:val="870"/>
    <w:link w:val="69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71"/>
    <w:link w:val="69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0">
    <w:name w:val="Heading 4"/>
    <w:basedOn w:val="870"/>
    <w:next w:val="870"/>
    <w:link w:val="70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71"/>
    <w:link w:val="70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70"/>
    <w:next w:val="870"/>
    <w:link w:val="70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71"/>
    <w:link w:val="70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70"/>
    <w:next w:val="870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71"/>
    <w:link w:val="70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70"/>
    <w:next w:val="870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71"/>
    <w:link w:val="70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70"/>
    <w:next w:val="870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71"/>
    <w:link w:val="70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70"/>
    <w:next w:val="870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71"/>
    <w:link w:val="71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2">
    <w:name w:val="No Spacing"/>
    <w:uiPriority w:val="1"/>
    <w:qFormat/>
    <w:pPr>
      <w:pBdr/>
      <w:spacing w:after="0" w:before="0" w:line="240" w:lineRule="auto"/>
      <w:ind/>
    </w:pPr>
  </w:style>
  <w:style w:type="paragraph" w:styleId="713">
    <w:name w:val="Title"/>
    <w:basedOn w:val="870"/>
    <w:next w:val="870"/>
    <w:link w:val="71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4">
    <w:name w:val="Title Char"/>
    <w:basedOn w:val="871"/>
    <w:link w:val="713"/>
    <w:uiPriority w:val="10"/>
    <w:pPr>
      <w:pBdr/>
      <w:spacing/>
      <w:ind/>
    </w:pPr>
    <w:rPr>
      <w:sz w:val="48"/>
      <w:szCs w:val="48"/>
    </w:rPr>
  </w:style>
  <w:style w:type="paragraph" w:styleId="715">
    <w:name w:val="Subtitle"/>
    <w:basedOn w:val="870"/>
    <w:next w:val="870"/>
    <w:link w:val="71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16">
    <w:name w:val="Subtitle Char"/>
    <w:basedOn w:val="871"/>
    <w:link w:val="715"/>
    <w:uiPriority w:val="11"/>
    <w:pPr>
      <w:pBdr/>
      <w:spacing/>
      <w:ind/>
    </w:pPr>
    <w:rPr>
      <w:sz w:val="24"/>
      <w:szCs w:val="24"/>
    </w:rPr>
  </w:style>
  <w:style w:type="paragraph" w:styleId="717">
    <w:name w:val="Quote"/>
    <w:basedOn w:val="870"/>
    <w:next w:val="870"/>
    <w:link w:val="718"/>
    <w:uiPriority w:val="29"/>
    <w:qFormat/>
    <w:pPr>
      <w:pBdr/>
      <w:spacing/>
      <w:ind w:right="720" w:left="720"/>
    </w:pPr>
    <w:rPr>
      <w:i/>
    </w:rPr>
  </w:style>
  <w:style w:type="character" w:styleId="718">
    <w:name w:val="Quote Char"/>
    <w:link w:val="717"/>
    <w:uiPriority w:val="29"/>
    <w:pPr>
      <w:pBdr/>
      <w:spacing/>
      <w:ind/>
    </w:pPr>
    <w:rPr>
      <w:i/>
    </w:rPr>
  </w:style>
  <w:style w:type="paragraph" w:styleId="719">
    <w:name w:val="Intense Quote"/>
    <w:basedOn w:val="870"/>
    <w:next w:val="870"/>
    <w:link w:val="72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0">
    <w:name w:val="Intense Quote Char"/>
    <w:link w:val="719"/>
    <w:uiPriority w:val="30"/>
    <w:pPr>
      <w:pBdr/>
      <w:spacing/>
      <w:ind/>
    </w:pPr>
    <w:rPr>
      <w:i/>
    </w:rPr>
  </w:style>
  <w:style w:type="paragraph" w:styleId="721">
    <w:name w:val="Header"/>
    <w:basedOn w:val="870"/>
    <w:link w:val="72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2">
    <w:name w:val="Header Char"/>
    <w:basedOn w:val="871"/>
    <w:link w:val="721"/>
    <w:uiPriority w:val="99"/>
    <w:pPr>
      <w:pBdr/>
      <w:spacing/>
      <w:ind/>
    </w:pPr>
  </w:style>
  <w:style w:type="paragraph" w:styleId="723">
    <w:name w:val="Footer"/>
    <w:basedOn w:val="870"/>
    <w:link w:val="72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4">
    <w:name w:val="Footer Char"/>
    <w:basedOn w:val="871"/>
    <w:link w:val="723"/>
    <w:uiPriority w:val="99"/>
    <w:pPr>
      <w:pBdr/>
      <w:spacing/>
      <w:ind/>
    </w:pPr>
  </w:style>
  <w:style w:type="paragraph" w:styleId="725">
    <w:name w:val="Caption"/>
    <w:basedOn w:val="870"/>
    <w:next w:val="87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26">
    <w:name w:val="Caption Char"/>
    <w:basedOn w:val="725"/>
    <w:link w:val="723"/>
    <w:uiPriority w:val="99"/>
    <w:pPr>
      <w:pBdr/>
      <w:spacing/>
      <w:ind/>
    </w:pPr>
  </w:style>
  <w:style w:type="table" w:styleId="727">
    <w:name w:val="Table Grid Light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3">
    <w:name w:val="footnote text"/>
    <w:basedOn w:val="870"/>
    <w:link w:val="85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54">
    <w:name w:val="Footnote Text Char"/>
    <w:link w:val="853"/>
    <w:uiPriority w:val="99"/>
    <w:pPr>
      <w:pBdr/>
      <w:spacing/>
      <w:ind/>
    </w:pPr>
    <w:rPr>
      <w:sz w:val="18"/>
    </w:rPr>
  </w:style>
  <w:style w:type="character" w:styleId="855">
    <w:name w:val="footnote reference"/>
    <w:basedOn w:val="871"/>
    <w:uiPriority w:val="99"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70"/>
    <w:link w:val="85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57">
    <w:name w:val="Endnote Text Char"/>
    <w:link w:val="856"/>
    <w:uiPriority w:val="99"/>
    <w:pPr>
      <w:pBdr/>
      <w:spacing/>
      <w:ind/>
    </w:pPr>
    <w:rPr>
      <w:sz w:val="20"/>
    </w:rPr>
  </w:style>
  <w:style w:type="character" w:styleId="858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toc 1"/>
    <w:basedOn w:val="870"/>
    <w:next w:val="870"/>
    <w:uiPriority w:val="39"/>
    <w:unhideWhenUsed/>
    <w:pPr>
      <w:pBdr/>
      <w:spacing w:after="57"/>
      <w:ind w:right="0" w:firstLine="0" w:left="0"/>
    </w:pPr>
  </w:style>
  <w:style w:type="paragraph" w:styleId="860">
    <w:name w:val="toc 2"/>
    <w:basedOn w:val="870"/>
    <w:next w:val="870"/>
    <w:uiPriority w:val="39"/>
    <w:unhideWhenUsed/>
    <w:pPr>
      <w:pBdr/>
      <w:spacing w:after="57"/>
      <w:ind w:right="0" w:firstLine="0" w:left="283"/>
    </w:pPr>
  </w:style>
  <w:style w:type="paragraph" w:styleId="861">
    <w:name w:val="toc 3"/>
    <w:basedOn w:val="870"/>
    <w:next w:val="870"/>
    <w:uiPriority w:val="39"/>
    <w:unhideWhenUsed/>
    <w:pPr>
      <w:pBdr/>
      <w:spacing w:after="57"/>
      <w:ind w:right="0" w:firstLine="0" w:left="567"/>
    </w:pPr>
  </w:style>
  <w:style w:type="paragraph" w:styleId="862">
    <w:name w:val="toc 4"/>
    <w:basedOn w:val="870"/>
    <w:next w:val="870"/>
    <w:uiPriority w:val="39"/>
    <w:unhideWhenUsed/>
    <w:pPr>
      <w:pBdr/>
      <w:spacing w:after="57"/>
      <w:ind w:right="0" w:firstLine="0" w:left="850"/>
    </w:pPr>
  </w:style>
  <w:style w:type="paragraph" w:styleId="863">
    <w:name w:val="toc 5"/>
    <w:basedOn w:val="870"/>
    <w:next w:val="870"/>
    <w:uiPriority w:val="39"/>
    <w:unhideWhenUsed/>
    <w:pPr>
      <w:pBdr/>
      <w:spacing w:after="57"/>
      <w:ind w:right="0" w:firstLine="0" w:left="1134"/>
    </w:pPr>
  </w:style>
  <w:style w:type="paragraph" w:styleId="864">
    <w:name w:val="toc 6"/>
    <w:basedOn w:val="870"/>
    <w:next w:val="870"/>
    <w:uiPriority w:val="39"/>
    <w:unhideWhenUsed/>
    <w:pPr>
      <w:pBdr/>
      <w:spacing w:after="57"/>
      <w:ind w:right="0" w:firstLine="0" w:left="1417"/>
    </w:pPr>
  </w:style>
  <w:style w:type="paragraph" w:styleId="865">
    <w:name w:val="toc 7"/>
    <w:basedOn w:val="870"/>
    <w:next w:val="870"/>
    <w:uiPriority w:val="39"/>
    <w:unhideWhenUsed/>
    <w:pPr>
      <w:pBdr/>
      <w:spacing w:after="57"/>
      <w:ind w:right="0" w:firstLine="0" w:left="1701"/>
    </w:pPr>
  </w:style>
  <w:style w:type="paragraph" w:styleId="866">
    <w:name w:val="toc 8"/>
    <w:basedOn w:val="870"/>
    <w:next w:val="870"/>
    <w:uiPriority w:val="39"/>
    <w:unhideWhenUsed/>
    <w:pPr>
      <w:pBdr/>
      <w:spacing w:after="57"/>
      <w:ind w:right="0" w:firstLine="0" w:left="1984"/>
    </w:pPr>
  </w:style>
  <w:style w:type="paragraph" w:styleId="867">
    <w:name w:val="toc 9"/>
    <w:basedOn w:val="870"/>
    <w:next w:val="870"/>
    <w:uiPriority w:val="39"/>
    <w:unhideWhenUsed/>
    <w:pPr>
      <w:pBdr/>
      <w:spacing w:after="57"/>
      <w:ind w:right="0" w:firstLine="0" w:left="2268"/>
    </w:p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870" w:default="1">
    <w:name w:val="Normal"/>
    <w:qFormat/>
    <w:pPr>
      <w:pBdr/>
      <w:spacing/>
      <w:ind/>
    </w:pPr>
  </w:style>
  <w:style w:type="character" w:styleId="871" w:default="1">
    <w:name w:val="Default Paragraph Font"/>
    <w:uiPriority w:val="1"/>
    <w:unhideWhenUsed/>
    <w:pPr>
      <w:pBdr/>
      <w:spacing/>
      <w:ind/>
    </w:pPr>
  </w:style>
  <w:style w:type="table" w:styleId="8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3" w:default="1">
    <w:name w:val="No List"/>
    <w:uiPriority w:val="99"/>
    <w:semiHidden/>
    <w:unhideWhenUsed/>
    <w:pPr>
      <w:pBdr/>
      <w:spacing/>
      <w:ind/>
    </w:pPr>
  </w:style>
  <w:style w:type="paragraph" w:styleId="874">
    <w:name w:val="List Paragraph"/>
    <w:basedOn w:val="870"/>
    <w:uiPriority w:val="34"/>
    <w:qFormat/>
    <w:pPr>
      <w:pBdr/>
      <w:spacing/>
      <w:ind w:left="720"/>
      <w:contextualSpacing w:val="true"/>
    </w:pPr>
  </w:style>
  <w:style w:type="paragraph" w:styleId="875" w:customStyle="1">
    <w:name w:val="0МОЙ ТЕКСТ"/>
    <w:basedOn w:val="870"/>
    <w:link w:val="877"/>
    <w:qFormat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76" w:customStyle="1">
    <w:name w:val="1ВЗС"/>
    <w:basedOn w:val="870"/>
    <w:next w:val="875"/>
    <w:link w:val="879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877" w:customStyle="1">
    <w:name w:val="0МОЙ ТЕКСТ Знак"/>
    <w:basedOn w:val="871"/>
    <w:link w:val="875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878" w:customStyle="1">
    <w:name w:val="2ГЛАВЫ"/>
    <w:basedOn w:val="870"/>
    <w:next w:val="875"/>
    <w:link w:val="881"/>
    <w:qFormat/>
    <w:pPr>
      <w:pageBreakBefore w:val="true"/>
      <w:widowControl w:val="false"/>
      <w:pBdr/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879" w:customStyle="1">
    <w:name w:val="1ВЗС Знак"/>
    <w:basedOn w:val="871"/>
    <w:link w:val="876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paragraph" w:styleId="880" w:customStyle="1">
    <w:name w:val="0МАРК"/>
    <w:basedOn w:val="875"/>
    <w:link w:val="882"/>
    <w:qFormat/>
    <w:pPr>
      <w:numPr>
        <w:ilvl w:val="0"/>
        <w:numId w:val="3"/>
      </w:numPr>
      <w:pBdr/>
      <w:tabs>
        <w:tab w:val="left" w:leader="none" w:pos="998"/>
      </w:tabs>
      <w:spacing/>
      <w:ind w:firstLine="709" w:left="0"/>
    </w:pPr>
  </w:style>
  <w:style w:type="character" w:styleId="881" w:customStyle="1">
    <w:name w:val="2ГЛАВЫ Знак"/>
    <w:basedOn w:val="871"/>
    <w:link w:val="878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character" w:styleId="882" w:customStyle="1">
    <w:name w:val="0МАРК Знак"/>
    <w:basedOn w:val="877"/>
    <w:link w:val="88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table" w:styleId="883">
    <w:name w:val="Table Grid"/>
    <w:basedOn w:val="8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F793D-A7BE-4F6B-8EBE-BF98DF64F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Эвелина Алексеевна</dc:creator>
  <cp:keywords/>
  <dc:description/>
  <cp:revision>11</cp:revision>
  <dcterms:created xsi:type="dcterms:W3CDTF">2025-11-12T03:23:00Z</dcterms:created>
  <dcterms:modified xsi:type="dcterms:W3CDTF">2025-11-20T02:50:40Z</dcterms:modified>
</cp:coreProperties>
</file>