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Федеральное государственное образовательное бюджетное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учреждение высшего образования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«Финансовый университет при Правительстве Российской Федерации»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(Финансовый университет)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Благовещенский филиал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Финуниверситета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4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Практическая работа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по стандартизации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40" w:line="240" w:lineRule="auto"/>
        <w:ind/>
        <w:jc w:val="center"/>
        <w:rPr>
          <w:rFonts w:ascii="Times New Roman" w:hAnsi="Times New Roman" w:eastAsia="Times New Roman" w:cs="Times New Roman"/>
          <w:sz w:val="40"/>
          <w:szCs w:val="40"/>
          <w:lang w:eastAsia="ru-RU"/>
        </w:rPr>
      </w:pP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</w:p>
    <w:p>
      <w:pPr>
        <w:pBdr/>
        <w:spacing w:after="24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Тема «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Стандартизация, сертификация и техническое документирование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right"/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Студент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группы: 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18   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Логунов Максим Егорович</w:t>
        <w:tab/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                              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фамилия,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имя,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отчество)   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     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</w:r>
    </w:p>
    <w:p>
      <w:pPr>
        <w:pBdr/>
        <w:spacing w:after="0" w:line="240" w:lineRule="auto"/>
        <w:ind/>
        <w:jc w:val="right"/>
        <w:rPr>
          <w:rFonts w:ascii="Times New Roman" w:hAnsi="Times New Roman" w:eastAsia="Times New Roman" w:cs="Times New Roman"/>
          <w:sz w:val="40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                     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ab/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</w:p>
    <w:p>
      <w:pPr>
        <w:pBdr/>
        <w:spacing w:after="240" w:before="240" w:line="240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Специальность (код и наименование специальности):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09.02.05 «Прикладная информатика (по отраслям)» базовой подготовки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sz w:val="28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(индекс и наименование специальности)</w:t>
      </w:r>
      <w:r>
        <w:rPr>
          <w:rFonts w:ascii="Times New Roman" w:hAnsi="Times New Roman" w:eastAsia="Times New Roman" w:cs="Times New Roman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40"/>
          <w:lang w:eastAsia="ru-RU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sz w:val="40"/>
          <w:szCs w:val="40"/>
          <w:lang w:eastAsia="ru-RU"/>
        </w:rPr>
      </w:pP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Руководитель </w: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работы</w:t>
      </w:r>
      <w:r>
        <w:rPr>
          <w:rFonts w:ascii="Times New Roman" w:hAnsi="Times New Roman" w:eastAsia="Times New Roman" w:cs="Times New Roman"/>
          <w:color w:val="000000"/>
          <w:sz w:val="36"/>
          <w:szCs w:val="40"/>
          <w:lang w:eastAsia="ru-RU"/>
        </w:rPr>
        <w:t xml:space="preserve">      </w:t>
      </w:r>
      <w:r>
        <w:rPr>
          <w:rFonts w:ascii="Times New Roman" w:hAnsi="Times New Roman" w:eastAsia="Times New Roman" w:cs="Times New Roman"/>
          <w:color w:val="000000"/>
          <w:sz w:val="36"/>
          <w:szCs w:val="40"/>
          <w:lang w:eastAsia="ru-RU"/>
        </w:rPr>
        <w:t xml:space="preserve">                       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__________    </w: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Вдовенко Никита Максимович</w: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40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2513965</wp:posOffset>
                </wp:positionH>
                <wp:positionV relativeFrom="paragraph">
                  <wp:posOffset>81280</wp:posOffset>
                </wp:positionV>
                <wp:extent cx="800100" cy="314325"/>
                <wp:effectExtent l="0" t="0" r="19050" b="28575"/>
                <wp:wrapSquare wrapText="bothSides"/>
                <wp:docPr id="1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</w:rPr>
                              <w:t xml:space="preserve">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</w:rPr>
                              <w:t xml:space="preserve">подпись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</w:rPr>
                              <w:t xml:space="preserve">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0" o:spid="_x0000_s0" o:spt="202" type="#_x0000_t202" style="position:absolute;z-index:251659264;o:allowoverlap:true;o:allowincell:true;mso-position-horizontal-relative:text;margin-left:197.95pt;mso-position-horizontal:absolute;mso-position-vertical-relative:text;margin-top:6.40pt;mso-position-vertical:absolute;width:63.00pt;height:24.75pt;mso-wrap-distance-left:9.00pt;mso-wrap-distance-top:3.60pt;mso-wrap-distance-right:9.00pt;mso-wrap-distance-bottom:3.60pt;v-text-anchor:top;visibility:visible;" fillcolor="#FFFFFF" strokecolor="#FFFFFF" strokeweight="0.75pt">
                <w10:wrap type="square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</w:rPr>
                        <w:t xml:space="preserve">(</w:t>
                      </w:r>
                      <w:r>
                        <w:rPr>
                          <w:rFonts w:ascii="Times New Roman" w:hAnsi="Times New Roman" w:eastAsia="Times New Roman" w:cs="Times New Roman"/>
                        </w:rPr>
                        <w:t xml:space="preserve">подпись</w:t>
                      </w:r>
                      <w:r>
                        <w:rPr>
                          <w:rFonts w:ascii="Times New Roman" w:hAnsi="Times New Roman" w:eastAsia="Times New Roman" w:cs="Times New Roman"/>
                        </w:rPr>
                        <w:t xml:space="preserve">)</w:t>
                      </w:r>
                      <w:r>
                        <w:rPr>
                          <w:rFonts w:ascii="Times New Roman" w:hAnsi="Times New Roman" w:eastAsia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40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3997665</wp:posOffset>
                </wp:positionH>
                <wp:positionV relativeFrom="paragraph">
                  <wp:posOffset>53340</wp:posOffset>
                </wp:positionV>
                <wp:extent cx="1869100" cy="266700"/>
                <wp:effectExtent l="4762" t="4762" r="4762" b="4762"/>
                <wp:wrapSquare wrapText="bothSides"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flipH="0" flipV="0">
                          <a:off x="0" y="0"/>
                          <a:ext cx="1869098" cy="2666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(фамилия, имя, отчество)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251660288;o:allowoverlap:true;o:allowincell:true;mso-position-horizontal-relative:text;margin-left:314.78pt;mso-position-horizontal:absolute;mso-position-vertical-relative:text;margin-top:4.20pt;mso-position-vertical:absolute;width:147.17pt;height:21.00pt;mso-wrap-distance-left:9.00pt;mso-wrap-distance-top:3.60pt;mso-wrap-distance-right:9.00pt;mso-wrap-distance-bottom:3.60pt;v-text-anchor:top;visibility:visible;" fillcolor="#FFFFFF" strokecolor="#FFFFFF" strokeweight="0.75pt">
                <w10:wrap type="square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(фамилия, имя, отчество)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              </w: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Благовещенск</w:t>
      </w:r>
      <m:oMath>
        <m:r>
          <m:rPr/>
          <w:rPr>
            <w:rFonts w:ascii="Cambria Math" w:hAnsi="Cambria Math" w:cs="Times New Roman"/>
            <w:sz w:val="28"/>
            <w:szCs w:val="28"/>
          </w:rPr>
          <m:t>-</m:t>
        </m:r>
      </m:oMath>
      <w:r>
        <w:rPr>
          <w:rFonts w:ascii="Times New Roman" w:hAnsi="Times New Roman" w:cs="Times New Roman"/>
          <w:sz w:val="28"/>
          <w:szCs w:val="28"/>
        </w:rPr>
        <w:t xml:space="preserve">2025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8"/>
        <w:pBdr/>
        <w:spacing w:line="360" w:lineRule="auto"/>
        <w:ind/>
        <w:jc w:val="center"/>
        <w:rPr/>
      </w:pPr>
      <w:r>
        <w:t xml:space="preserve">ЧАСТЬ</w:t>
      </w:r>
      <w:r>
        <w:t xml:space="preserve"> </w:t>
      </w:r>
      <w:r>
        <w:t xml:space="preserve">1. ТЕОРЕТИЧЕСКИЕ ВОПРОСЫ</w:t>
      </w:r>
    </w:p>
    <w:p>
      <w:pPr>
        <w:pStyle w:val="875"/>
        <w:pBdr/>
        <w:spacing w:line="360" w:lineRule="auto"/>
        <w:ind w:firstLine="0"/>
        <w:outlineLvl w:val="1"/>
        <w:rPr/>
      </w:pPr>
      <w:r>
        <w:t xml:space="preserve">1.1 Стандартизация</w:t>
      </w:r>
    </w:p>
    <w:p>
      <w:pPr>
        <w:pStyle w:val="875"/>
        <w:pBdr/>
        <w:spacing w:line="360" w:lineRule="auto"/>
        <w:ind/>
        <w:rPr/>
      </w:pPr>
      <w:r>
        <w:t xml:space="preserve">Стандартизация – </w:t>
      </w:r>
      <w:r>
        <w:t xml:space="preserve">деятельность по разработке, опубликованию и применению стандартов, по установлению норм, правил и характеристик</w:t>
      </w:r>
    </w:p>
    <w:p>
      <w:pPr>
        <w:pStyle w:val="875"/>
        <w:pBdr/>
        <w:spacing w:line="360" w:lineRule="auto"/>
        <w:ind/>
        <w:jc w:val="center"/>
        <w:rPr>
          <w:b/>
          <w:bCs/>
          <w:highlight w:val="none"/>
        </w:rPr>
      </w:pPr>
      <w:r>
        <w:rPr>
          <w:b/>
        </w:rPr>
        <w:t xml:space="preserve">Общие цели стандартизации: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75"/>
        <w:numPr>
          <w:ilvl w:val="0"/>
          <w:numId w:val="5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сближение уровня качества продукции, изготавливаемой в различных странах;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5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обеспечение взаимозаменяемости элементов сложной продукции;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5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содействие международной торговле;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5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содействие взаимному обмену научно-технической информацией и ускорение научно-технического прогресса.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center"/>
        <w:rPr>
          <w:b/>
          <w:bCs/>
          <w:highlight w:val="none"/>
        </w:rPr>
      </w:pPr>
      <w:r>
        <w:rPr>
          <w:b/>
        </w:rPr>
        <w:t xml:space="preserve">ГОСТ, ОСТ, СТП и ТУ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Г</w:t>
      </w:r>
      <w:r>
        <w:rPr>
          <w:b w:val="0"/>
          <w:bCs w:val="0"/>
          <w:highlight w:val="none"/>
        </w:rPr>
        <w:t xml:space="preserve">ОСТ (государственный стандарт). Разрабатывается на продукцию, имеющую межотраслевое значение. Устанавливает технические требования к продукции, требования безопасности, методы анализа, область и способы применения. В России ГОСТы разрабатываются и утвержда</w:t>
      </w:r>
      <w:r>
        <w:rPr>
          <w:b w:val="0"/>
          <w:bCs w:val="0"/>
          <w:highlight w:val="none"/>
        </w:rPr>
        <w:t xml:space="preserve">ются Федеральным агентством по техническому регулированию и метрологии (Росстандарт) или межгосударственными органами. 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О</w:t>
      </w:r>
      <w:r>
        <w:rPr>
          <w:b w:val="0"/>
          <w:bCs w:val="0"/>
          <w:highlight w:val="none"/>
        </w:rPr>
        <w:t xml:space="preserve">СТ (отраслевой стандарт). Разрабатывается применительно к продуктам определённой отрасли. Объектами этих стандартов являются продукция, процессы, услуги, правила по организации работ, типовые конструкции изделий отраслевого применения, правила метрологичес</w:t>
      </w:r>
      <w:r>
        <w:rPr>
          <w:b w:val="0"/>
          <w:bCs w:val="0"/>
          <w:highlight w:val="none"/>
        </w:rPr>
        <w:t xml:space="preserve">кого контроля. В отличие от ГОСТов, ОСТы являются вторичными актами, которые согласуются с их положениями. 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С</w:t>
      </w:r>
      <w:r>
        <w:rPr>
          <w:b w:val="0"/>
          <w:bCs w:val="0"/>
          <w:highlight w:val="none"/>
        </w:rPr>
        <w:t xml:space="preserve">ТП (стандарт предприятия). Разрабатывается и принимается самим предприятием. Объектами являются составные части производимой продукции (сырья, полуфабрикатов), технологическая оснастка и нормы процесса производства, инструменты и прочее. Ссылка на такой ст</w:t>
      </w:r>
      <w:r>
        <w:rPr>
          <w:b w:val="0"/>
          <w:bCs w:val="0"/>
          <w:highlight w:val="none"/>
        </w:rPr>
        <w:t xml:space="preserve">андарт в договоре делает его обязательным для всех участников договора. 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Т</w:t>
      </w:r>
      <w:r>
        <w:rPr>
          <w:b w:val="0"/>
          <w:bCs w:val="0"/>
          <w:highlight w:val="none"/>
        </w:rPr>
        <w:t xml:space="preserve">У (технические условия). Обычно составляются предприятием в том случае, когда стандарт создавать целесообразно. Объектом ТУ часто является продукция разовой поставки. ТУ — технический документ, нормативным он рассматривается в случае ссылки на него в контр</w:t>
      </w:r>
      <w:r>
        <w:rPr>
          <w:b w:val="0"/>
          <w:bCs w:val="0"/>
          <w:highlight w:val="none"/>
        </w:rPr>
        <w:t xml:space="preserve">акте или договоре на поставку продукции. Требования, установленные ТУ, не должны противоречить обязательным требованиям Госстандарта, распространяющимся на данную продукцию.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875"/>
        <w:pBdr/>
        <w:spacing w:line="360" w:lineRule="auto"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  <w:t xml:space="preserve">ЕСКД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Единая система конструкторской документации (ЕСКД) — комплекс стандартов, устанавливающих взаимосвязанные правила, требования и нормы по разработке, оформлению и обращению конструкторской документации.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center"/>
        <w:rPr>
          <w:b/>
          <w:bCs/>
        </w:rPr>
      </w:pPr>
      <w:r>
        <w:rPr>
          <w:b/>
          <w:bCs/>
        </w:rPr>
        <w:t xml:space="preserve">Основное назначение стандартов ЕСКД:</w:t>
      </w:r>
      <w:r>
        <w:rPr>
          <w:b/>
          <w:bCs/>
        </w:rPr>
      </w:r>
      <w:r>
        <w:rPr>
          <w:b/>
          <w:bCs/>
        </w:rPr>
      </w:r>
    </w:p>
    <w:p>
      <w:pPr>
        <w:pStyle w:val="875"/>
        <w:numPr>
          <w:ilvl w:val="0"/>
          <w:numId w:val="9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</w:rPr>
        <w:t xml:space="preserve">обеспечение полноты и непротиворечивости информации в конструкторской документации;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9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</w:rPr>
        <w:t xml:space="preserve">обеспечение комплектности и взаимной согласованности конструкторской документации;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9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</w:rPr>
        <w:t xml:space="preserve">обмен и применение конструкторской документации без её переоформления;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9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</w:rPr>
        <w:t xml:space="preserve">унификация и стандартизация при разработке изделия;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9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</w:rPr>
        <w:t xml:space="preserve">сокращение сроков и снижение трудоёмкости подготовки производства;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9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</w:rPr>
        <w:t xml:space="preserve">обеспечение оптимальной и безопасной эксплуатации изделия;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9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</w:rPr>
        <w:t xml:space="preserve">содействие проведению сертификации изделия.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center"/>
        <w:rPr>
          <w:b/>
          <w:bCs/>
          <w:highlight w:val="none"/>
        </w:rPr>
      </w:pPr>
      <w:r>
        <w:rPr>
          <w:b/>
        </w:rPr>
        <w:t xml:space="preserve">Основные </w:t>
      </w:r>
      <w:r>
        <w:rPr>
          <w:b/>
          <w:lang w:val="en-US"/>
        </w:rPr>
        <w:t xml:space="preserve"> </w:t>
      </w:r>
      <w:r>
        <w:rPr>
          <w:b/>
          <w:lang w:val="ru-RU"/>
        </w:rPr>
        <w:t xml:space="preserve">категории </w:t>
      </w:r>
      <w:r>
        <w:rPr>
          <w:b/>
        </w:rPr>
        <w:t xml:space="preserve">стандартов по уровню утверждения 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75"/>
        <w:numPr>
          <w:ilvl w:val="0"/>
          <w:numId w:val="16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Международные стандарты. Утверждаются международной организацией по стандартизации, носят рекомендательный, добровольный характер.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16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Региональные стандарты. Принимаются региональной организацией, занимающейся стандартизацией, доступны широкому кругу потребителей.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16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Межгосударственные стандарты (ГОСТ). Принимаются государствами, которые присоединились к соглашению о проведении согласованной политики в области стандартизации, метрологии и сертификации.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16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Национальные стандарты. Принимаются национальным органом по стандартизации.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numPr>
          <w:ilvl w:val="0"/>
          <w:numId w:val="16"/>
        </w:numPr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Стандарты организаций (СТП). Утверждаются юридическим лицом или индивидуальным предпринимателем, распространяются только на них.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center"/>
        <w:rPr>
          <w:b/>
        </w:rPr>
      </w:pPr>
      <w:r>
        <w:rPr>
          <w:b/>
        </w:rPr>
        <w:t xml:space="preserve">Для чего нужна международная стандартизация (ISO, IEC)?</w:t>
      </w:r>
      <w:r>
        <w:rPr>
          <w:b/>
        </w:rPr>
      </w:r>
      <w:r>
        <w:rPr>
          <w:b/>
        </w:rPr>
      </w:r>
    </w:p>
    <w:p>
      <w:pPr>
        <w:pStyle w:val="875"/>
        <w:pBdr/>
        <w:spacing w:line="360" w:lineRule="auto"/>
        <w:ind/>
        <w:rPr/>
      </w:pPr>
      <w:r>
        <w:t xml:space="preserve">Международная стандартизация </w:t>
      </w:r>
      <w:r>
        <w:t xml:space="preserve"> это стандартизация, участие в которой открыто для соответствующих органов всех стран на Земле.</w:t>
      </w:r>
    </w:p>
    <w:p>
      <w:pPr>
        <w:pStyle w:val="875"/>
        <w:pBdr/>
        <w:spacing w:line="360" w:lineRule="auto"/>
        <w:ind/>
        <w:rPr>
          <w:highlight w:val="none"/>
        </w:rPr>
      </w:pPr>
      <w:r>
        <w:t xml:space="preserve">Основное назначени</w:t>
      </w:r>
      <w:r>
        <w:t xml:space="preserve">е международной стандартизации </w:t>
      </w:r>
      <w:r>
        <w:t xml:space="preserve"> создание на международном уровне единой методической основы для разработки новых и совершенствования действующих систем качества и их сертификации.</w:t>
      </w:r>
      <w:r>
        <w:rPr>
          <w:highlight w:val="none"/>
        </w:rPr>
      </w:r>
    </w:p>
    <w:p>
      <w:pPr>
        <w:pStyle w:val="875"/>
        <w:pBdr/>
        <w:spacing w:line="360" w:lineRule="auto"/>
        <w:ind/>
        <w:jc w:val="center"/>
        <w:rPr>
          <w:b/>
          <w:bCs/>
        </w:rPr>
      </w:pPr>
      <w:r>
        <w:rPr>
          <w:b/>
          <w:bCs/>
          <w:highlight w:val="none"/>
        </w:rPr>
        <w:t xml:space="preserve">Международная стандартизация, в том числе работа организаций ISO и IEC, нужна для разных целей, среди которых:</w:t>
      </w:r>
      <w:r>
        <w:rPr>
          <w:b/>
          <w:bCs/>
          <w:highlight w:val="none"/>
        </w:rPr>
      </w:r>
      <w:r>
        <w:rPr>
          <w:b/>
          <w:bCs/>
        </w:rPr>
      </w:r>
    </w:p>
    <w:p>
      <w:pPr>
        <w:pStyle w:val="875"/>
        <w:pBdr/>
        <w:spacing w:line="360" w:lineRule="auto"/>
        <w:ind/>
        <w:rPr/>
      </w:pPr>
      <w:r>
        <w:rPr>
          <w:highlight w:val="none"/>
        </w:rPr>
        <w:t xml:space="preserve">Г</w:t>
      </w:r>
      <w:r>
        <w:rPr>
          <w:highlight w:val="none"/>
        </w:rPr>
        <w:t xml:space="preserve">армонизация стандартов. До появления ISO разные страны придерживались собственных стандартов на продукцию, процессы и обеспечение качества, что усложняло международную торговлю. Стандарты ISO предоставляют единый набор требований для компаний, регулирующих</w:t>
      </w:r>
      <w:r>
        <w:rPr>
          <w:highlight w:val="none"/>
        </w:rPr>
        <w:t xml:space="preserve"> органов и потребителей по всему миру. </w:t>
      </w:r>
      <w:r>
        <w:rPr>
          <w:highlight w:val="none"/>
        </w:rPr>
      </w:r>
    </w:p>
    <w:p>
      <w:pPr>
        <w:pStyle w:val="875"/>
        <w:pBdr/>
        <w:spacing w:line="360" w:lineRule="auto"/>
        <w:ind/>
        <w:rPr/>
      </w:pPr>
      <w:r>
        <w:rPr>
          <w:highlight w:val="none"/>
        </w:rPr>
        <w:t xml:space="preserve">Создание пространства всеобщего доверия. Стороны должны быть уверены в безопасности, надёжности, функциональной совместимости и качестве взаимопоставляемой продукции. </w:t>
      </w:r>
      <w:r>
        <w:rPr>
          <w:highlight w:val="none"/>
        </w:rPr>
      </w:r>
    </w:p>
    <w:p>
      <w:pPr>
        <w:pStyle w:val="875"/>
        <w:pBdr/>
        <w:spacing w:line="360" w:lineRule="auto"/>
        <w:ind/>
        <w:rPr/>
      </w:pPr>
      <w:r>
        <w:rPr>
          <w:highlight w:val="none"/>
        </w:rPr>
        <w:t xml:space="preserve">Содействие международной торговле. Международные стандарты помогают рынкам быстрее развиваться и увеличивают объём мировой торговли. </w:t>
      </w:r>
      <w:r>
        <w:rPr>
          <w:highlight w:val="none"/>
        </w:rPr>
      </w:r>
    </w:p>
    <w:p>
      <w:pPr>
        <w:pStyle w:val="875"/>
        <w:pBdr/>
        <w:spacing w:line="360" w:lineRule="auto"/>
        <w:ind/>
        <w:rPr/>
      </w:pPr>
      <w:r>
        <w:rPr>
          <w:highlight w:val="none"/>
        </w:rPr>
        <w:t xml:space="preserve">Ускорение научно-технического прогресса. Стандарты устанавливают требования к техническому уровню и качеству продукции, сырья, материалов, полуфабрикатов и комплектующих изделий. </w:t>
      </w:r>
      <w:r>
        <w:rPr>
          <w:highlight w:val="none"/>
        </w:rPr>
      </w:r>
    </w:p>
    <w:p>
      <w:pPr>
        <w:pStyle w:val="875"/>
        <w:pBdr/>
        <w:spacing w:line="360" w:lineRule="auto"/>
        <w:ind/>
        <w:rPr/>
      </w:pPr>
      <w:r>
        <w:rPr>
          <w:highlight w:val="none"/>
        </w:rPr>
        <w:t xml:space="preserve">Развитие унификации и агрегатирования промышленной продукции. Это важно для специализации производства, комплексной механизации и автоматизации производственных процессов, повышения уровня взаимозаменяемости, эффективности эксплуатации и ремонта изделий. </w:t>
      </w:r>
      <w:r>
        <w:rPr>
          <w:highlight w:val="none"/>
        </w:rPr>
      </w:r>
    </w:p>
    <w:p>
      <w:pPr>
        <w:pStyle w:val="875"/>
        <w:pBdr/>
        <w:spacing w:line="360" w:lineRule="auto"/>
        <w:ind/>
        <w:rPr/>
      </w:pPr>
      <w:r>
        <w:rPr>
          <w:highlight w:val="none"/>
        </w:rPr>
        <w:t xml:space="preserve">Обеспечение единства и достоверности измерений. Стандарты включают создание и совершенствование государственных эталонов единиц физических величин, а также методов и средств измерений высшей точности. </w:t>
      </w:r>
      <w:r>
        <w:rPr>
          <w:highlight w:val="none"/>
        </w:rPr>
      </w:r>
    </w:p>
    <w:p>
      <w:pPr>
        <w:pStyle w:val="875"/>
        <w:pBdr/>
        <w:spacing w:line="360" w:lineRule="auto"/>
        <w:ind/>
        <w:rPr/>
      </w:pPr>
      <w:r>
        <w:rPr>
          <w:highlight w:val="none"/>
        </w:rPr>
        <w:t xml:space="preserve">Создание благоприятных условий для внешнеторговых, культурных и научно-технических связей. </w:t>
      </w:r>
      <w:r>
        <w:rPr>
          <w:highlight w:val="none"/>
        </w:rPr>
      </w:r>
    </w:p>
    <w:p>
      <w:pPr>
        <w:pStyle w:val="875"/>
        <w:pBdr/>
        <w:spacing w:line="360" w:lineRule="auto"/>
        <w:ind w:firstLine="0"/>
        <w:outlineLvl w:val="1"/>
        <w:rPr>
          <w:highlight w:val="none"/>
        </w:rPr>
      </w:pPr>
      <w:r>
        <w:t xml:space="preserve">1.2</w:t>
      </w:r>
      <w:r>
        <w:t xml:space="preserve"> </w:t>
      </w:r>
      <w:r>
        <w:t xml:space="preserve">Сертификация</w:t>
      </w:r>
      <w:r>
        <w:rPr>
          <w:highlight w:val="none"/>
        </w:rPr>
      </w:r>
    </w:p>
    <w:p>
      <w:pPr>
        <w:pStyle w:val="875"/>
        <w:pBdr/>
        <w:spacing w:line="360" w:lineRule="auto"/>
        <w:ind w:firstLine="0"/>
        <w:outlineLvl w:val="1"/>
        <w:rPr/>
      </w:pPr>
      <w:r>
        <w:rPr>
          <w:highlight w:val="none"/>
        </w:rPr>
      </w:r>
      <w:r>
        <w:rPr>
          <w:highlight w:val="none"/>
        </w:rPr>
        <w:t xml:space="preserve">С</w:t>
      </w:r>
      <w:r>
        <w:rPr>
          <w:highlight w:val="none"/>
        </w:rPr>
        <w:t xml:space="preserve">ертификация продукции — это процедура, в ходе которой уполномоченная организация подтверждает соответствие продукции, работ, услуг и процессов установленным нормам и требованиям. На заключительном этапе производителю или продавцу выдают удостоверяющий доку</w:t>
      </w:r>
      <w:r>
        <w:rPr>
          <w:highlight w:val="none"/>
        </w:rPr>
        <w:t xml:space="preserve">мент — сертификат.</w:t>
      </w:r>
      <w:r>
        <w:rPr>
          <w:highlight w:val="none"/>
        </w:rPr>
      </w:r>
    </w:p>
    <w:p>
      <w:pPr>
        <w:pStyle w:val="875"/>
        <w:pBdr/>
        <w:spacing w:line="360" w:lineRule="auto"/>
        <w:ind/>
        <w:jc w:val="center"/>
        <w:rPr>
          <w:b/>
        </w:rPr>
      </w:pPr>
      <w:r>
        <w:rPr>
          <w:b/>
        </w:rPr>
        <w:t xml:space="preserve">В чем разница между обязательной и добровольной сертификацией?</w:t>
      </w:r>
      <w:r>
        <w:rPr>
          <w:b/>
        </w:rPr>
      </w:r>
      <w:r>
        <w:rPr>
          <w:b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Основное отличие обязательной сертификации от добровольной заключается в правовом статусе каждой процедуры и целях, с которыми она проводится. 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О</w:t>
      </w:r>
      <w:r>
        <w:rPr>
          <w:b w:val="0"/>
          <w:bCs w:val="0"/>
          <w:highlight w:val="none"/>
        </w:rPr>
        <w:t xml:space="preserve">бязательная сертификация проводится в соответствии с законом и касается строго определённых категорий товаров. Основная её цель — подтверждение безопасности товара для здоровья потребителей и окружающей среды. Без такого документа выпуск, импорт или продаж</w:t>
      </w:r>
      <w:r>
        <w:rPr>
          <w:b w:val="0"/>
          <w:bCs w:val="0"/>
          <w:highlight w:val="none"/>
        </w:rPr>
        <w:t xml:space="preserve">а продукции невозможны. 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Добровольная сертификация проводится по инициативе самого предпринимателя. Она не заменяет обязательную, но помогает подчеркнуть качество и конкурентные преимущества продукции, а также повысить доверие покупателей и партнёров. 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center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Некоторые другие различия между обязательной и добровольной сертификацией: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С</w:t>
      </w:r>
      <w:r>
        <w:rPr>
          <w:b w:val="0"/>
          <w:bCs w:val="0"/>
          <w:highlight w:val="none"/>
        </w:rPr>
        <w:t xml:space="preserve">фера использования. Обязательная сертификация применяется для категорий продукции, которые входят в Единый перечень товаров, подлежащих обязательной сертификации, например, для продуктов питания, косметики, игрушек, бытовой техники и пр.. Добровольная серт</w:t>
      </w:r>
      <w:r>
        <w:rPr>
          <w:b w:val="0"/>
          <w:bCs w:val="0"/>
          <w:highlight w:val="none"/>
        </w:rPr>
        <w:t xml:space="preserve">ификация может применяться к любым продуктам и услугам по усмотрению производителя или поставщика.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Ч</w:t>
      </w:r>
      <w:r>
        <w:rPr>
          <w:b w:val="0"/>
          <w:bCs w:val="0"/>
          <w:highlight w:val="none"/>
        </w:rPr>
        <w:t xml:space="preserve">то требует подтверждения. Обязательная сертификация требует подтверждения основных показателей безопасности и соответствия установленным техническим регламентам. Добровольная сертификация позволяет проверить дополнительные свойства продукта, которые могут </w:t>
      </w:r>
      <w:r>
        <w:rPr>
          <w:b w:val="0"/>
          <w:bCs w:val="0"/>
          <w:highlight w:val="none"/>
        </w:rPr>
        <w:t xml:space="preserve">иметь значение для отдельных групп потребителей или рынков, например, соответствие международным стандартам или сертификация по внутренним стандартам компании.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Основание для проведения. Обязательная сертификация предписана законодательством. Добровольная сертификация проводится исключительно по инициативе производителя, чтобы подчеркнуть особые качества продукции.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О</w:t>
      </w:r>
      <w:r>
        <w:rPr>
          <w:b w:val="0"/>
          <w:bCs w:val="0"/>
          <w:highlight w:val="none"/>
        </w:rPr>
        <w:t xml:space="preserve">собенности бланка. Бланки сертификатов для обязательной сертификации обычно имеют государственную защиту и специальный формат, утверждённый соответствующими органами. Добровольные сертификаты могут выпускаться на обычных бланках, но с обязательным указание</w:t>
      </w:r>
      <w:r>
        <w:rPr>
          <w:b w:val="0"/>
          <w:bCs w:val="0"/>
          <w:highlight w:val="none"/>
        </w:rPr>
        <w:t xml:space="preserve">м данных сертификационного органа.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  <w:t xml:space="preserve">З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white"/>
        </w:rPr>
        <w:t xml:space="preserve">нак соответствия и знак обращения на рынке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Знак соответствия — обозначение, которое подтверждает соответствие продукции требованиям системы сертификации.</w:t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</w:p>
    <w:p>
      <w:pPr>
        <w:pStyle w:val="875"/>
        <w:pBdr/>
        <w:spacing w:line="360" w:lineRule="auto"/>
        <w:ind/>
        <w:jc w:val="both"/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Знак обращения на рынке — обозначение, служащее для информирования приобретателей (потребителей) о соответствии выпускаемой в обращение продукции </w:t>
      </w:r>
      <w:r>
        <w:rPr>
          <w:b w:val="0"/>
          <w:bCs w:val="0"/>
          <w:highlight w:val="none"/>
        </w:rPr>
        <w:t xml:space="preserve">требованиям технических регламентов. </w:t>
      </w:r>
      <w:r>
        <w:rPr>
          <w:b w:val="0"/>
          <w:bCs w:val="0"/>
          <w:highlight w:val="none"/>
        </w:rPr>
      </w:r>
      <w:r>
        <w:rPr>
          <w:b w:val="0"/>
          <w:bCs w:val="0"/>
        </w:rPr>
      </w:r>
    </w:p>
    <w:p>
      <w:pPr>
        <w:pStyle w:val="875"/>
        <w:pBdr/>
        <w:spacing w:line="360" w:lineRule="auto"/>
        <w:ind/>
        <w:jc w:val="center"/>
        <w:rPr>
          <w:b/>
          <w:bCs/>
          <w:highlight w:val="none"/>
        </w:rPr>
      </w:pPr>
      <w:r>
        <w:rPr>
          <w:b/>
        </w:rPr>
        <w:t xml:space="preserve">Этапы процедуры сертификации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880"/>
        <w:pBdr/>
        <w:spacing w:line="360" w:lineRule="auto"/>
        <w:ind/>
        <w:rPr/>
      </w:pPr>
      <w:r>
        <w:t xml:space="preserve">Обращение заявителя в уполномоченный орган. Это может быть любое аккредитованное </w:t>
      </w:r>
      <w:r>
        <w:t xml:space="preserve">юрлицо</w:t>
      </w:r>
      <w:r>
        <w:t xml:space="preserve"> или ИП. В основном процедурой занимаются специальные центры и лаборатории. Некоторые виды сертификации проводят государственные органы.</w:t>
      </w:r>
    </w:p>
    <w:p>
      <w:pPr>
        <w:pStyle w:val="880"/>
        <w:pBdr/>
        <w:spacing w:line="360" w:lineRule="auto"/>
        <w:ind/>
        <w:rPr/>
      </w:pPr>
      <w:r>
        <w:t xml:space="preserve">П</w:t>
      </w:r>
      <w:r>
        <w:t xml:space="preserve">одача заявки. Обычно в ней указывают общие сведения о компании, коды классификации товаров, нормативную базу. К заявке прикладывают учредительные и регистрационные акты компании, ТУ, СТО, техпаспорта и инструкции на продукцию, другие необходимые документы.</w:t>
      </w:r>
    </w:p>
    <w:p>
      <w:pPr>
        <w:pStyle w:val="880"/>
        <w:pBdr/>
        <w:spacing w:line="360" w:lineRule="auto"/>
        <w:ind/>
        <w:rPr/>
      </w:pPr>
      <w:r>
        <w:t xml:space="preserve">Оценка соответст</w:t>
      </w:r>
      <w:r>
        <w:t xml:space="preserve">вия. Формат этого этапа зависит от объекта сертификации. Если речь идёт о товарах, то лаборатория или другой орган по её поручению отбирает образцы продукции для испытаний, тестов, измерений и других исследований. Результаты фиксируют в протоколах и актах.</w:t>
      </w:r>
    </w:p>
    <w:p>
      <w:pPr>
        <w:pStyle w:val="880"/>
        <w:pBdr/>
        <w:spacing w:line="360" w:lineRule="auto"/>
        <w:ind/>
        <w:rPr/>
      </w:pPr>
      <w:r>
        <w:t xml:space="preserve">Принятие решения. По итогам работы исполнитель решает, выдать ли заказчику сертификат или отказать. Во втором случае заявитель получает соответствующий документ с причиной отказа.</w:t>
      </w:r>
    </w:p>
    <w:p>
      <w:pPr>
        <w:pStyle w:val="880"/>
        <w:pBdr/>
        <w:spacing w:line="360" w:lineRule="auto"/>
        <w:ind/>
        <w:rPr/>
      </w:pPr>
      <w:r>
        <w:t xml:space="preserve">Выдача сертификата. При положительном решении исполнитель выдаёт заказчику удостоверяющий документ и регистрирует его в общем реестре.</w:t>
      </w:r>
    </w:p>
    <w:p>
      <w:pPr>
        <w:pStyle w:val="880"/>
        <w:pBdr/>
        <w:spacing w:line="360" w:lineRule="auto"/>
        <w:ind/>
        <w:rPr/>
      </w:pPr>
      <w:r>
        <w:t xml:space="preserve">Маркировка. Если процедура была добровольной, заказчик имеет право на маркировку товаров знаком соответствия. При обязательной сертификации заявитель обязан маркировать товар знаком обращения на рынке.</w:t>
      </w:r>
    </w:p>
    <w:p>
      <w:pPr>
        <w:pStyle w:val="880"/>
        <w:pBdr/>
        <w:spacing w:line="360" w:lineRule="auto"/>
        <w:ind/>
        <w:rPr/>
      </w:pPr>
      <w:r>
        <w:t xml:space="preserve">Инспекционный контроль. Он возможен только в случае, если это </w:t>
      </w:r>
      <w:r>
        <w:t xml:space="preserve">предусмотрено схемой сертификации. Плановые и внеплановые проверки проводят в течение срока действия удостоверяющего документа.</w:t>
      </w:r>
    </w:p>
    <w:p>
      <w:pPr>
        <w:pStyle w:val="880"/>
        <w:numPr>
          <w:ilvl w:val="0"/>
          <w:numId w:val="0"/>
        </w:numPr>
        <w:pBdr/>
        <w:spacing w:line="360" w:lineRule="auto"/>
        <w:ind w:firstLine="0" w:left="709"/>
        <w:jc w:val="center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Декларация соответствия</w:t>
      </w:r>
      <w:r>
        <w:rPr>
          <w:b/>
          <w:bCs/>
          <w:highlight w:val="none"/>
        </w:rPr>
      </w:r>
      <w:r>
        <w:rPr>
          <w:b/>
          <w:bCs/>
        </w:rPr>
      </w:r>
    </w:p>
    <w:p>
      <w:pPr>
        <w:pStyle w:val="875"/>
        <w:pBdr/>
        <w:spacing w:line="360" w:lineRule="auto"/>
        <w:ind/>
        <w:rPr>
          <w:highlight w:val="none"/>
        </w:rPr>
      </w:pPr>
      <w:r>
        <w:t xml:space="preserve">Декларация соответствия </w:t>
      </w:r>
      <w:r>
        <w:t xml:space="preserve"> это документ, подтверждающий, что продукция импортера или изготовителя соответствует установленным нормам качества и безопасности на государственном уровне.</w:t>
      </w:r>
      <w:r>
        <w:rPr>
          <w:highlight w:val="none"/>
        </w:rPr>
      </w:r>
    </w:p>
    <w:p>
      <w:pPr>
        <w:pStyle w:val="875"/>
        <w:pBdr/>
        <w:spacing w:line="360" w:lineRule="auto"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Style w:val="875"/>
        <w:pBdr/>
        <w:spacing w:line="360" w:lineRule="auto"/>
        <w:ind w:firstLine="0"/>
        <w:outlineLvl w:val="1"/>
        <w:rPr/>
      </w:pPr>
      <w:r>
        <w:t xml:space="preserve">1.3 </w:t>
      </w:r>
      <w:r>
        <w:t xml:space="preserve">Техническое документирование</w:t>
      </w:r>
    </w:p>
    <w:p>
      <w:pPr>
        <w:pStyle w:val="875"/>
        <w:pBdr/>
        <w:spacing w:line="360" w:lineRule="auto"/>
        <w:ind/>
        <w:rPr>
          <w:u w:val="single"/>
        </w:rPr>
      </w:pPr>
      <w:r>
        <w:rPr>
          <w:u w:val="single"/>
        </w:rPr>
        <w:t xml:space="preserve">Некоторые виды технической документации:</w:t>
      </w:r>
      <w:r>
        <w:rPr>
          <w:u w:val="single"/>
        </w:rPr>
      </w:r>
      <w:r>
        <w:rPr>
          <w:u w:val="single"/>
        </w:rPr>
      </w:r>
    </w:p>
    <w:p>
      <w:pPr>
        <w:pStyle w:val="880"/>
        <w:pBdr/>
        <w:spacing w:line="360" w:lineRule="auto"/>
        <w:ind/>
        <w:rPr/>
      </w:pPr>
      <w:r>
        <w:t xml:space="preserve">Конструкторская. Включает чертежи, спецификации, расчётные записки и другие материалы, необходимые для создания изделия.</w:t>
      </w:r>
    </w:p>
    <w:p>
      <w:pPr>
        <w:pStyle w:val="880"/>
        <w:pBdr/>
        <w:spacing w:line="360" w:lineRule="auto"/>
        <w:ind/>
        <w:rPr/>
      </w:pPr>
      <w:r>
        <w:t xml:space="preserve">Технологическая. Содержит информацию о процессах изготовления, методах контроля и испытаний.</w:t>
      </w:r>
    </w:p>
    <w:p>
      <w:pPr>
        <w:pStyle w:val="880"/>
        <w:pBdr/>
        <w:spacing w:line="360" w:lineRule="auto"/>
        <w:ind/>
        <w:rPr/>
      </w:pPr>
      <w:r>
        <w:t xml:space="preserve">Эксплуатационная. Включает руководства по эксплуатации, инструкции по техническому обслуживанию и ремонту.</w:t>
      </w:r>
    </w:p>
    <w:p>
      <w:pPr>
        <w:pStyle w:val="880"/>
        <w:pBdr/>
        <w:spacing w:line="360" w:lineRule="auto"/>
        <w:ind/>
        <w:rPr/>
      </w:pPr>
      <w:r>
        <w:t xml:space="preserve">Программная. Включает технические задания, спецификации и описание программных продуктов.</w:t>
      </w:r>
    </w:p>
    <w:p>
      <w:pPr>
        <w:pStyle w:val="880"/>
        <w:pBdr/>
        <w:spacing w:line="360" w:lineRule="auto"/>
        <w:ind/>
        <w:rPr/>
      </w:pPr>
      <w:r>
        <w:t xml:space="preserve">Проектная. Комплекс документов, необходимых для реализации строительных и инженерных проектов. Включает генпланы, архитектурные решения и расчёты.</w:t>
      </w:r>
    </w:p>
    <w:p>
      <w:pPr>
        <w:pStyle w:val="880"/>
        <w:pBdr/>
        <w:spacing w:line="360" w:lineRule="auto"/>
        <w:ind/>
        <w:rPr/>
      </w:pPr>
      <w:r>
        <w:t xml:space="preserve">Нормативная. Включает стандарты, технические условия и регламенты, устанавливающие обязательные требования к продукции и процессам.</w:t>
      </w:r>
    </w:p>
    <w:p>
      <w:pPr>
        <w:pStyle w:val="880"/>
        <w:pBdr/>
        <w:spacing w:line="360" w:lineRule="auto"/>
        <w:ind/>
        <w:rPr/>
      </w:pPr>
      <w:r>
        <w:t xml:space="preserve">Документация по качеству. Включает процедуры контроля, планы проверок и протоколы испытаний.</w:t>
      </w:r>
    </w:p>
    <w:p>
      <w:pPr>
        <w:pStyle w:val="880"/>
        <w:pBdr/>
        <w:spacing w:line="360" w:lineRule="auto"/>
        <w:ind/>
        <w:rPr/>
      </w:pPr>
      <w:r>
        <w:t xml:space="preserve">Паспорт изделия. Содержит сведения о технических характеристиках, комплектности, номерах серий и условиях эксплуатации.</w:t>
      </w:r>
    </w:p>
    <w:p>
      <w:pPr>
        <w:pStyle w:val="880"/>
        <w:pBdr/>
        <w:spacing w:line="360" w:lineRule="auto"/>
        <w:ind/>
        <w:rPr/>
      </w:pPr>
      <w:r>
        <w:t xml:space="preserve">Руководство по эксплуатации. Описывает порядок монтажа, ввода в действие, работы, технического обслуживания и утилизации, а также включает меры предосторожности и требования безопасности.</w:t>
      </w:r>
    </w:p>
    <w:p>
      <w:pPr>
        <w:pStyle w:val="880"/>
        <w:pBdr/>
        <w:spacing w:line="360" w:lineRule="auto"/>
        <w:ind/>
        <w:rPr/>
      </w:pPr>
      <w:r>
        <w:t xml:space="preserve">Технические условия на продукцию. Являются нормативным документом, в котором устанавливаются требования к качеству, составу, упаковке, маркировке и методам испытаний продукции, не охваченной </w:t>
      </w:r>
      <w:r>
        <w:t xml:space="preserve">ГОСТами.</w:t>
      </w:r>
    </w:p>
    <w:p>
      <w:pPr>
        <w:pStyle w:val="880"/>
        <w:pBdr/>
        <w:spacing w:line="360" w:lineRule="auto"/>
        <w:ind/>
        <w:rPr/>
      </w:pPr>
      <w:r>
        <w:t xml:space="preserve">Обоснования безопасности. Разрабатывается для подтверждения соответствия продукции требованиям технических регламентов и правил, особенно если речь идёт об опасных или потенциально опасных объектах.</w:t>
      </w:r>
    </w:p>
    <w:p>
      <w:pPr>
        <w:pStyle w:val="875"/>
        <w:pBdr/>
        <w:spacing w:line="360" w:lineRule="auto"/>
        <w:ind/>
        <w:jc w:val="center"/>
        <w:rPr>
          <w:b/>
        </w:rPr>
      </w:pPr>
      <w:r>
        <w:rPr>
          <w:b/>
        </w:rPr>
        <w:t xml:space="preserve">Основные требования ГОСТ по оформлению текстовых документов.</w:t>
      </w:r>
      <w:r>
        <w:rPr>
          <w:b/>
        </w:rPr>
      </w:r>
      <w:r>
        <w:rPr>
          <w:b/>
        </w:rPr>
      </w:r>
    </w:p>
    <w:p>
      <w:pPr>
        <w:pStyle w:val="880"/>
        <w:pBdr/>
        <w:spacing w:line="360" w:lineRule="auto"/>
        <w:ind/>
        <w:rPr/>
      </w:pPr>
      <w:r>
        <w:t xml:space="preserve">Шрифт: для основного текста </w:t>
      </w:r>
      <w:r>
        <w:t xml:space="preserve"> </w:t>
      </w:r>
      <w:r>
        <w:t xml:space="preserve">Times</w:t>
      </w:r>
      <w:r>
        <w:t xml:space="preserve"> </w:t>
      </w:r>
      <w:r>
        <w:t xml:space="preserve">New</w:t>
      </w:r>
      <w:r>
        <w:t xml:space="preserve"> </w:t>
      </w:r>
      <w:r>
        <w:t xml:space="preserve">Roman</w:t>
      </w:r>
      <w:r>
        <w:t xml:space="preserve"> или </w:t>
      </w:r>
      <w:r>
        <w:t xml:space="preserve">Arial</w:t>
      </w:r>
      <w:r>
        <w:t xml:space="preserve"> размером 14, для приложений, примечаний, сносок и примеров </w:t>
      </w:r>
      <w:r>
        <w:t xml:space="preserve"> 12. Допускается использование шрифта размером 13 и 11 для основного текста и размером 12 и 10 для приложений, примечаний, сносок и примеров. </w:t>
      </w:r>
    </w:p>
    <w:p>
      <w:pPr>
        <w:pStyle w:val="880"/>
        <w:pBdr/>
        <w:spacing w:line="360" w:lineRule="auto"/>
        <w:ind/>
        <w:rPr/>
      </w:pPr>
      <w:r>
        <w:t xml:space="preserve">Перенос слов: допускается использовать перенос в словах, кроме заголовков. Текст оформляют с использованием полуторного межстрочного интервала, допускается использование двойного. </w:t>
      </w:r>
    </w:p>
    <w:p>
      <w:pPr>
        <w:pStyle w:val="880"/>
        <w:pBdr/>
        <w:spacing w:line="360" w:lineRule="auto"/>
        <w:ind/>
        <w:rPr/>
      </w:pPr>
      <w:r>
        <w:t xml:space="preserve">Расстояние от рамки: в начале и в конце строк </w:t>
      </w:r>
      <w:r>
        <w:t xml:space="preserve"> не менее 3 мм, от верхней или нижней строки текста до верхней или нижней рамки </w:t>
      </w:r>
      <w:r>
        <w:t xml:space="preserve"> не менее 10 мм. </w:t>
      </w:r>
    </w:p>
    <w:p>
      <w:pPr>
        <w:pStyle w:val="880"/>
        <w:pBdr/>
        <w:spacing w:line="360" w:lineRule="auto"/>
        <w:ind/>
        <w:rPr/>
      </w:pPr>
      <w:r>
        <w:t xml:space="preserve">Абзацы: начинают с отступа, равным пяти знакам используемой гарнитуры шрифта (12,5–17 мм). Для текста, выполняемого машинописным способом, абзацный отступ выполняют равным пяти ударам пишущей машинки. </w:t>
      </w:r>
    </w:p>
    <w:p>
      <w:pPr>
        <w:pStyle w:val="880"/>
        <w:pBdr/>
        <w:spacing w:line="360" w:lineRule="auto"/>
        <w:ind/>
        <w:rPr/>
      </w:pPr>
      <w:r>
        <w:t xml:space="preserve">Опечатки и графические неточности: допускается исправлять подчисткой или закрашиванием корректирующей жидкостью белого цвета и нанесением на том же месте исправленного текста (графики). </w:t>
      </w:r>
    </w:p>
    <w:p>
      <w:pPr>
        <w:pStyle w:val="880"/>
        <w:pBdr/>
        <w:spacing w:line="360" w:lineRule="auto"/>
        <w:ind/>
        <w:rPr/>
      </w:pPr>
      <w:r>
        <w:t xml:space="preserve">Структура: текст документа может содержать разделы, подразделы, пункты, подпункты, нумеруемые арабскими цифрами. Уровней рубрикации текста не должно быть более четырёх.</w:t>
      </w:r>
    </w:p>
    <w:p>
      <w:pPr>
        <w:pStyle w:val="880"/>
        <w:numPr>
          <w:ilvl w:val="0"/>
          <w:numId w:val="0"/>
        </w:numPr>
        <w:pBdr/>
        <w:spacing w:line="360" w:lineRule="auto"/>
        <w:ind w:firstLine="0" w:left="709"/>
        <w:jc w:val="center"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Спецификация</w:t>
      </w:r>
      <w:r>
        <w:rPr>
          <w:b/>
          <w:bCs/>
          <w:highlight w:val="none"/>
        </w:rPr>
      </w:r>
      <w:r>
        <w:rPr>
          <w:b/>
          <w:bCs/>
        </w:rPr>
      </w:r>
    </w:p>
    <w:p>
      <w:pPr>
        <w:pStyle w:val="875"/>
        <w:pBdr/>
        <w:spacing w:line="360" w:lineRule="auto"/>
        <w:ind/>
        <w:rPr/>
      </w:pPr>
      <w:r>
        <w:t xml:space="preserve">Спецификация </w:t>
      </w:r>
      <w:r>
        <w:t xml:space="preserve"> это документ, в котором подробно описываются требования, характеристики и параметры объекта, процесса или системы. Может использоваться в различных областях, таких как инженерия, программирование, строительство, производство и другие.</w:t>
      </w:r>
    </w:p>
    <w:p>
      <w:pPr>
        <w:pStyle w:val="875"/>
        <w:pBdr/>
        <w:spacing w:line="360" w:lineRule="auto"/>
        <w:ind/>
        <w:rPr/>
      </w:pPr>
      <w:r>
        <w:t xml:space="preserve">Она </w:t>
      </w:r>
      <w:r>
        <w:t xml:space="preserve">используется</w:t>
      </w:r>
      <w:r>
        <w:t xml:space="preserve"> для:</w:t>
      </w:r>
    </w:p>
    <w:p>
      <w:pPr>
        <w:pStyle w:val="880"/>
        <w:pBdr/>
        <w:spacing w:line="360" w:lineRule="auto"/>
        <w:ind/>
        <w:rPr/>
      </w:pPr>
      <w:r>
        <w:t xml:space="preserve">Чёткого формулирования требований к продукту или услуге, что позволяет избежать недопонимания между участниками проекта или сторонами </w:t>
      </w:r>
      <w:r>
        <w:t xml:space="preserve">договора.</w:t>
      </w:r>
    </w:p>
    <w:p>
      <w:pPr>
        <w:pStyle w:val="880"/>
        <w:pBdr/>
        <w:spacing w:line="360" w:lineRule="auto"/>
        <w:ind/>
        <w:rPr/>
      </w:pPr>
      <w:r>
        <w:t xml:space="preserve">Детализации условий договора </w:t>
      </w:r>
      <w:r>
        <w:t xml:space="preserve"> документ содержит подробную информацию об обязательствах одной стороны перед другой, включая характеристики поставляемых изделий, их количество, стоимость и условия доставки.</w:t>
      </w:r>
    </w:p>
    <w:p>
      <w:pPr>
        <w:pStyle w:val="880"/>
        <w:pBdr/>
        <w:spacing w:line="360" w:lineRule="auto"/>
        <w:ind/>
        <w:rPr/>
      </w:pPr>
      <w:r>
        <w:t xml:space="preserve">Контроля качества </w:t>
      </w:r>
      <w:r>
        <w:t xml:space="preserve"> спецификация помогает проверить соответствие конечного продукта или услуги установленным требованиям и стандартам.</w:t>
      </w:r>
    </w:p>
    <w:p>
      <w:pPr>
        <w:pStyle w:val="875"/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1f2328"/>
          <w:sz w:val="28"/>
          <w:szCs w:val="28"/>
          <w:highlight w:val="none"/>
        </w:rPr>
        <w:t xml:space="preserve">О</w:t>
      </w:r>
      <w:r>
        <w:rPr>
          <w:rFonts w:ascii="Times New Roman" w:hAnsi="Times New Roman" w:eastAsia="Times New Roman" w:cs="Times New Roman"/>
          <w:b/>
          <w:bCs/>
          <w:color w:val="1f2328"/>
          <w:sz w:val="28"/>
          <w:szCs w:val="28"/>
          <w:highlight w:val="white"/>
        </w:rPr>
        <w:t xml:space="preserve">сновные форматы конструкторских документов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в мм: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880"/>
        <w:pBdr/>
        <w:spacing w:line="360" w:lineRule="auto"/>
        <w:ind/>
        <w:rPr/>
      </w:pPr>
      <w:r>
        <w:t xml:space="preserve">А0 </w:t>
      </w:r>
      <w:r>
        <w:t xml:space="preserve"> 841 × 1189;</w:t>
      </w:r>
    </w:p>
    <w:p>
      <w:pPr>
        <w:pStyle w:val="880"/>
        <w:pBdr/>
        <w:spacing w:line="360" w:lineRule="auto"/>
        <w:ind/>
        <w:rPr/>
      </w:pPr>
      <w:r>
        <w:t xml:space="preserve">А1 </w:t>
      </w:r>
      <w:r>
        <w:t xml:space="preserve"> 594 × 841;</w:t>
      </w:r>
    </w:p>
    <w:p>
      <w:pPr>
        <w:pStyle w:val="880"/>
        <w:pBdr/>
        <w:spacing w:line="360" w:lineRule="auto"/>
        <w:ind/>
        <w:rPr/>
      </w:pPr>
      <w:r>
        <w:t xml:space="preserve">А2 </w:t>
      </w:r>
      <w:r>
        <w:t xml:space="preserve"> 420 × 594;</w:t>
      </w:r>
    </w:p>
    <w:p>
      <w:pPr>
        <w:pStyle w:val="880"/>
        <w:pBdr/>
        <w:spacing w:line="360" w:lineRule="auto"/>
        <w:ind/>
        <w:rPr/>
      </w:pPr>
      <w:r>
        <w:t xml:space="preserve">А3 </w:t>
      </w:r>
      <w:r>
        <w:t xml:space="preserve"> 297 × 420;</w:t>
      </w:r>
    </w:p>
    <w:p>
      <w:pPr>
        <w:pStyle w:val="880"/>
        <w:pBdr/>
        <w:spacing w:line="360" w:lineRule="auto"/>
        <w:ind/>
        <w:rPr/>
      </w:pPr>
      <w:r>
        <w:t xml:space="preserve">А4 </w:t>
      </w:r>
      <w:r>
        <w:t xml:space="preserve"> 210 × 297.</w:t>
      </w:r>
    </w:p>
    <w:p>
      <w:pPr>
        <w:pStyle w:val="875"/>
        <w:pBdr/>
        <w:spacing w:line="360" w:lineRule="auto"/>
        <w:ind/>
        <w:jc w:val="center"/>
        <w:rPr>
          <w:b/>
          <w:lang w:eastAsia="ru-RU"/>
        </w:rPr>
      </w:pPr>
      <w:r>
        <w:rPr>
          <w:b/>
          <w:lang w:eastAsia="ru-RU"/>
        </w:rPr>
        <w:t xml:space="preserve">Правила</w:t>
      </w:r>
      <w:r>
        <w:rPr>
          <w:b/>
          <w:lang w:eastAsia="ru-RU"/>
        </w:rPr>
        <w:t xml:space="preserve">для</w:t>
      </w:r>
      <w:r>
        <w:rPr>
          <w:b/>
          <w:lang w:eastAsia="ru-RU"/>
        </w:rPr>
        <w:t xml:space="preserve"> н</w:t>
      </w:r>
      <w:r>
        <w:rPr>
          <w:b/>
          <w:lang w:eastAsia="ru-RU"/>
        </w:rPr>
        <w:t xml:space="preserve">умерации разделов и подразделов</w:t>
      </w:r>
      <w:r>
        <w:rPr>
          <w:b/>
          <w:lang w:eastAsia="ru-RU"/>
        </w:rPr>
      </w:r>
      <w:r>
        <w:rPr>
          <w:b/>
          <w:lang w:eastAsia="ru-RU"/>
        </w:rPr>
      </w:r>
    </w:p>
    <w:p>
      <w:pPr>
        <w:pStyle w:val="875"/>
        <w:pBdr/>
        <w:spacing w:line="360" w:lineRule="auto"/>
        <w:ind/>
        <w:rPr/>
      </w:pPr>
      <w:r>
        <w:t xml:space="preserve">Разделы должны иметь порядковые номера в пределах всего документа (части, книги), обозначенные арабскими цифрами без точки и записанные с абзацного отступа. </w:t>
      </w:r>
    </w:p>
    <w:p>
      <w:pPr>
        <w:pStyle w:val="875"/>
        <w:pBdr/>
        <w:spacing w:line="360" w:lineRule="auto"/>
        <w:ind/>
        <w:rPr/>
      </w:pPr>
      <w:r>
        <w:t xml:space="preserve">Подразделы должны иметь нумерацию в пределах каждого раздела. Номер подраздела состоит из номеров раздела и подраздела, разделённых точкой, при этом в конце номера подраздела точка не ставится. </w:t>
      </w:r>
    </w:p>
    <w:p>
      <w:pPr>
        <w:pStyle w:val="875"/>
        <w:pBdr/>
        <w:spacing w:line="360" w:lineRule="auto"/>
        <w:ind/>
        <w:rPr/>
      </w:pPr>
      <w:r>
        <w:t xml:space="preserve">Если документ не имеет подразделов, то нумерация пунктов в нём должна быть в пределах каждого раздела, а номер пункта должен состоять из номеров раздела и пункта, разделённых точкой. В конце номера пункта точка не ставится. </w:t>
      </w:r>
    </w:p>
    <w:p>
      <w:pPr>
        <w:pStyle w:val="875"/>
        <w:pBdr/>
        <w:spacing w:line="360" w:lineRule="auto"/>
        <w:ind/>
        <w:rPr/>
      </w:pPr>
      <w:r>
        <w:t xml:space="preserve">Если документ имеет подразделы, то нумерация пунктов должна быть в пределах подраздела, а номер пункта должен состоять из номеров раздела, подраздела и пункта, разделённых точками. </w:t>
      </w:r>
    </w:p>
    <w:p>
      <w:pPr>
        <w:pStyle w:val="875"/>
        <w:pBdr/>
        <w:spacing w:line="360" w:lineRule="auto"/>
        <w:ind/>
        <w:rPr/>
      </w:pPr>
      <w:r>
        <w:t xml:space="preserve">Если раздел или подраздел состоит из одного пункта, он также нумеруется. </w:t>
      </w:r>
    </w:p>
    <w:p>
      <w:pPr>
        <w:pStyle w:val="875"/>
        <w:pBdr/>
        <w:spacing w:line="360" w:lineRule="auto"/>
        <w:ind/>
        <w:rPr/>
      </w:pPr>
      <w:r>
        <w:t xml:space="preserve">Каждый раздел текстового документа рекомендуется начинать с нового листа (страницы).</w:t>
      </w:r>
    </w:p>
    <w:p>
      <w:pPr>
        <w:pStyle w:val="875"/>
        <w:pBdr/>
        <w:spacing w:line="360" w:lineRule="auto"/>
        <w:ind/>
        <w:rPr/>
      </w:pPr>
      <w:r>
        <w:t xml:space="preserve">В документе большого объёма на первом (заглавном) листе и, при </w:t>
      </w:r>
      <w:r>
        <w:t xml:space="preserve">необходимости, на последующих листах помещают содержание, включающее номера и наименования разделов и подразделов с указанием номеров листов (страниц).</w:t>
      </w:r>
    </w:p>
    <w:p>
      <w:pPr>
        <w:pStyle w:val="878"/>
        <w:pBdr/>
        <w:spacing w:line="360" w:lineRule="auto"/>
        <w:ind/>
        <w:rPr/>
      </w:pPr>
      <w:r>
        <w:t xml:space="preserve">ЧАСТЬ 2 ПРАКТИЧЕСКИЕ ЗАДАНИЯ</w:t>
      </w:r>
    </w:p>
    <w:p>
      <w:pPr>
        <w:pStyle w:val="875"/>
        <w:pBdr/>
        <w:spacing w:line="360" w:lineRule="auto"/>
        <w:ind w:firstLine="0"/>
        <w:outlineLvl w:val="1"/>
        <w:rPr/>
      </w:pPr>
      <w:r>
        <w:t xml:space="preserve">2.1 Работа по стандартам</w:t>
      </w:r>
    </w:p>
    <w:p>
      <w:pPr>
        <w:pStyle w:val="875"/>
        <w:pBdr/>
        <w:spacing w:line="360" w:lineRule="auto"/>
        <w:ind/>
        <w:rPr/>
      </w:pPr>
      <w:r>
        <w:t xml:space="preserve">Настоящий стандарт устанавливает форматы листов чертежей и других</w:t>
      </w:r>
      <w:r>
        <w:t xml:space="preserve"> документов, </w:t>
      </w:r>
      <w:r>
        <w:t xml:space="preserve">выполненных в электронной и (или) бумажной форме, предусмотренных стандартами на</w:t>
      </w:r>
      <w:r>
        <w:t xml:space="preserve"> </w:t>
      </w:r>
      <w:r>
        <w:t xml:space="preserve">конструкторскую документацию всех отраслей промышленности и строительства.</w:t>
      </w:r>
    </w:p>
    <w:p>
      <w:pPr>
        <w:pStyle w:val="875"/>
        <w:pBdr/>
        <w:spacing w:line="360" w:lineRule="auto"/>
        <w:ind/>
        <w:rPr/>
      </w:pPr>
      <w:r>
        <w:t xml:space="preserve">Форматы листов определяются размерами внешней ра</w:t>
      </w:r>
      <w:r>
        <w:t xml:space="preserve">мки (выполненной тонкой линией) </w:t>
      </w:r>
      <w:r>
        <w:t xml:space="preserve">оригиналов, </w:t>
      </w:r>
      <w:r>
        <w:t xml:space="preserve">подлинников, дубликатов, копий.</w:t>
      </w:r>
    </w:p>
    <w:p>
      <w:pPr>
        <w:pStyle w:val="875"/>
        <w:pBdr/>
        <w:spacing w:line="360" w:lineRule="auto"/>
        <w:ind/>
        <w:rPr/>
      </w:pPr>
      <w:r>
        <w:t xml:space="preserve">При выводе документа в электронной форме на бумажный носи</w:t>
      </w:r>
      <w:r>
        <w:t xml:space="preserve">тель с размерами сторон листа, </w:t>
      </w:r>
      <w:r>
        <w:t xml:space="preserve">совпадающими с указанными в табл.1, внешнюю рамку формата допускается не выполнять. Если</w:t>
      </w:r>
      <w:r>
        <w:t xml:space="preserve"> </w:t>
      </w:r>
      <w:r>
        <w:t xml:space="preserve">размеры сторон листа больше указанных в табл.1, то внешняя рамка формата должна быть</w:t>
      </w:r>
      <w:r>
        <w:t xml:space="preserve"> воспроизведена</w:t>
      </w:r>
    </w:p>
    <w:p>
      <w:pPr>
        <w:pStyle w:val="875"/>
        <w:pBdr/>
        <w:spacing w:line="360" w:lineRule="auto"/>
        <w:ind/>
        <w:rPr/>
      </w:pPr>
      <w:r>
        <w:t xml:space="preserve">Формат с размерами сторон 1189х841 мм, площадь которого равна</w:t>
      </w:r>
      <w:r>
        <w:t xml:space="preserve"> 1 </w:t>
      </w:r>
      <w:r>
        <w:t xml:space="preserve">м ,</w:t>
      </w:r>
      <w:r>
        <w:t xml:space="preserve"> и другие форматы, </w:t>
      </w:r>
      <w:r>
        <w:t xml:space="preserve">полученные путем последовательного деления его на две равные части параллельно меньшей</w:t>
      </w:r>
      <w:r>
        <w:t xml:space="preserve"> </w:t>
      </w:r>
      <w:r>
        <w:t xml:space="preserve">стороне соответствующего формата, принимаются за основные.</w:t>
      </w:r>
    </w:p>
    <w:p>
      <w:pPr>
        <w:pStyle w:val="875"/>
        <w:pBdr/>
        <w:spacing w:line="360" w:lineRule="auto"/>
        <w:ind/>
        <w:rPr/>
      </w:pPr>
      <w:r>
        <w:t xml:space="preserve">Обозначения и размеры сторон основных форматов дол</w:t>
      </w:r>
      <w:r>
        <w:t xml:space="preserve">жны соответствовать указанным в </w:t>
      </w:r>
      <w:r>
        <w:t xml:space="preserve">табл</w:t>
      </w:r>
      <w:r>
        <w:t xml:space="preserve">ица</w:t>
      </w:r>
      <w:r>
        <w:t xml:space="preserve">.1.</w:t>
      </w:r>
    </w:p>
    <w:p>
      <w:pPr>
        <w:pStyle w:val="875"/>
        <w:pBdr/>
        <w:spacing w:line="360" w:lineRule="auto"/>
        <w:ind/>
        <w:rPr/>
      </w:pPr>
    </w:p>
    <w:tbl>
      <w:tblPr>
        <w:tblStyle w:val="883"/>
        <w:tblW w:w="0" w:type="auto"/>
        <w:tblBorders/>
        <w:tblLook w:val="04A0" w:firstRow="1" w:lastRow="0" w:firstColumn="1" w:lastColumn="0" w:noHBand="0" w:noVBand="1"/>
      </w:tblPr>
      <w:tblGrid>
        <w:gridCol w:w="4814"/>
        <w:gridCol w:w="4814"/>
      </w:tblGrid>
      <w:tr>
        <w:trPr/>
        <w:tc>
          <w:tcPr>
            <w:tcW w:w="4814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Обозначение формата</w:t>
            </w:r>
          </w:p>
        </w:tc>
        <w:tc>
          <w:tcPr>
            <w:tcW w:w="4814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Размеры сторон формата, мм</w:t>
            </w:r>
          </w:p>
        </w:tc>
      </w:tr>
      <w:tr>
        <w:trPr/>
        <w:tc>
          <w:tcPr>
            <w:tcW w:w="4814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А0</w:t>
            </w:r>
          </w:p>
        </w:tc>
        <w:tc>
          <w:tcPr>
            <w:tcW w:w="4814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841х1189</w:t>
            </w:r>
          </w:p>
        </w:tc>
      </w:tr>
      <w:tr>
        <w:trPr/>
        <w:tc>
          <w:tcPr>
            <w:tcW w:w="4814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А1</w:t>
            </w:r>
          </w:p>
        </w:tc>
        <w:tc>
          <w:tcPr>
            <w:tcW w:w="4814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594х 841</w:t>
            </w:r>
          </w:p>
        </w:tc>
      </w:tr>
      <w:tr>
        <w:trPr/>
        <w:tc>
          <w:tcPr>
            <w:tcW w:w="4814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А2</w:t>
            </w:r>
          </w:p>
        </w:tc>
        <w:tc>
          <w:tcPr>
            <w:tcW w:w="4814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420х594</w:t>
            </w:r>
          </w:p>
        </w:tc>
      </w:tr>
      <w:tr>
        <w:trPr/>
        <w:tc>
          <w:tcPr>
            <w:tcW w:w="4814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А3</w:t>
            </w:r>
          </w:p>
        </w:tc>
        <w:tc>
          <w:tcPr>
            <w:tcW w:w="4814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297х420</w:t>
            </w:r>
          </w:p>
        </w:tc>
      </w:tr>
      <w:tr>
        <w:trPr/>
        <w:tc>
          <w:tcPr>
            <w:tcW w:w="4814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А4</w:t>
            </w:r>
          </w:p>
        </w:tc>
        <w:tc>
          <w:tcPr>
            <w:tcW w:w="4814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210х297</w:t>
            </w:r>
          </w:p>
        </w:tc>
      </w:tr>
    </w:tbl>
    <w:p>
      <w:pPr>
        <w:pStyle w:val="875"/>
        <w:pBdr/>
        <w:spacing w:line="360" w:lineRule="auto"/>
        <w:ind w:firstLine="0"/>
        <w:jc w:val="center"/>
        <w:rPr/>
      </w:pPr>
      <w:r>
        <w:t xml:space="preserve">Таблица 1</w:t>
      </w:r>
    </w:p>
    <w:p>
      <w:pPr>
        <w:pStyle w:val="875"/>
        <w:pBdr/>
        <w:spacing w:line="360" w:lineRule="auto"/>
        <w:ind/>
        <w:rPr/>
      </w:pPr>
      <w:r>
        <w:t xml:space="preserve">При необходимости допускается применять формат А5 с размерами сторон 148х210 мм.</w:t>
      </w:r>
    </w:p>
    <w:p>
      <w:pPr>
        <w:pStyle w:val="875"/>
        <w:pBdr/>
        <w:spacing w:line="360" w:lineRule="auto"/>
        <w:ind/>
        <w:rPr/>
      </w:pPr>
      <w:r>
        <w:t xml:space="preserve">Допускается применение дополнительных форматов, образуемых увеличением коротких сторон основных форматов на величину, кратную их </w:t>
      </w:r>
      <w:r>
        <w:t xml:space="preserve">размерам. Размеры производных форматов, как правило, следует выбирать по табл.2. Обозначение производного формата составляется из обозначения основного формата и его кратности согласно табл.2, например, А0х2, А4х8 и т.д.</w:t>
      </w:r>
    </w:p>
    <w:p>
      <w:pPr>
        <w:pStyle w:val="875"/>
        <w:pBdr/>
        <w:spacing w:line="360" w:lineRule="auto"/>
        <w:ind/>
        <w:jc w:val="center"/>
        <w:rPr/>
      </w:pPr>
      <w:r>
        <w:t xml:space="preserve">мм</w:t>
      </w:r>
    </w:p>
    <w:tbl>
      <w:tblPr>
        <w:tblStyle w:val="883"/>
        <w:tblW w:w="0" w:type="auto"/>
        <w:tblBorders/>
        <w:tblLook w:val="04A0" w:firstRow="1" w:lastRow="0" w:firstColumn="1" w:lastColumn="0" w:noHBand="0" w:noVBand="1"/>
      </w:tblPr>
      <w:tblGrid>
        <w:gridCol w:w="1600"/>
        <w:gridCol w:w="1601"/>
        <w:gridCol w:w="1605"/>
        <w:gridCol w:w="1605"/>
        <w:gridCol w:w="1605"/>
        <w:gridCol w:w="1612"/>
      </w:tblGrid>
      <w:tr>
        <w:trPr/>
        <w:tc>
          <w:tcPr>
            <w:tcW w:w="1601" w:type="dxa"/>
            <w:vMerge w:val="restart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Кратность</w:t>
            </w:r>
          </w:p>
        </w:tc>
        <w:tc>
          <w:tcPr>
            <w:tcW w:w="8027" w:type="dxa"/>
            <w:gridSpan w:val="5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Формат</w:t>
            </w:r>
          </w:p>
        </w:tc>
      </w:tr>
      <w:tr>
        <w:trPr/>
        <w:tc>
          <w:tcPr>
            <w:tcW w:w="1601" w:type="dxa"/>
            <w:vMerge w:val="continue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jc w:val="center"/>
              <w:rPr/>
            </w:pPr>
          </w:p>
        </w:tc>
        <w:tc>
          <w:tcPr>
            <w:tcW w:w="1602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А0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А1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А2</w:t>
            </w:r>
          </w:p>
        </w:tc>
        <w:tc>
          <w:tcPr>
            <w:tcW w:w="1603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А3</w:t>
            </w:r>
          </w:p>
        </w:tc>
        <w:tc>
          <w:tcPr>
            <w:tcW w:w="1612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А4</w:t>
            </w:r>
          </w:p>
        </w:tc>
      </w:tr>
      <w:tr>
        <w:trPr/>
        <w:tc>
          <w:tcPr>
            <w:tcW w:w="1601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</w:t>
            </w:r>
          </w:p>
        </w:tc>
        <w:tc>
          <w:tcPr>
            <w:tcW w:w="1602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1189х1682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</w:p>
        </w:tc>
        <w:tc>
          <w:tcPr>
            <w:tcW w:w="1610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</w:p>
        </w:tc>
      </w:tr>
      <w:tr>
        <w:trPr/>
        <w:tc>
          <w:tcPr>
            <w:tcW w:w="1601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3</w:t>
            </w:r>
          </w:p>
        </w:tc>
        <w:tc>
          <w:tcPr>
            <w:tcW w:w="1602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1189х2523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841х1783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594х1261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420х891</w:t>
            </w:r>
          </w:p>
        </w:tc>
        <w:tc>
          <w:tcPr>
            <w:tcW w:w="1610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297х630</w:t>
            </w:r>
          </w:p>
        </w:tc>
      </w:tr>
      <w:tr>
        <w:trPr/>
        <w:tc>
          <w:tcPr>
            <w:tcW w:w="1601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4</w:t>
            </w:r>
          </w:p>
        </w:tc>
        <w:tc>
          <w:tcPr>
            <w:tcW w:w="1602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841х2378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594х1682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420х1189</w:t>
            </w:r>
          </w:p>
        </w:tc>
        <w:tc>
          <w:tcPr>
            <w:tcW w:w="1610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297х841</w:t>
            </w:r>
          </w:p>
        </w:tc>
      </w:tr>
      <w:tr>
        <w:trPr/>
        <w:tc>
          <w:tcPr>
            <w:tcW w:w="1601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5</w:t>
            </w:r>
          </w:p>
        </w:tc>
        <w:tc>
          <w:tcPr>
            <w:tcW w:w="1602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594х2102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420х1486</w:t>
            </w:r>
          </w:p>
        </w:tc>
        <w:tc>
          <w:tcPr>
            <w:tcW w:w="1610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297х1051</w:t>
            </w:r>
          </w:p>
        </w:tc>
      </w:tr>
      <w:tr>
        <w:trPr/>
        <w:tc>
          <w:tcPr>
            <w:tcW w:w="1601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6</w:t>
            </w:r>
          </w:p>
        </w:tc>
        <w:tc>
          <w:tcPr>
            <w:tcW w:w="1602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420х1783</w:t>
            </w:r>
          </w:p>
        </w:tc>
        <w:tc>
          <w:tcPr>
            <w:tcW w:w="1610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297х1261</w:t>
            </w:r>
          </w:p>
        </w:tc>
      </w:tr>
      <w:tr>
        <w:trPr/>
        <w:tc>
          <w:tcPr>
            <w:tcW w:w="1601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7</w:t>
            </w:r>
          </w:p>
        </w:tc>
        <w:tc>
          <w:tcPr>
            <w:tcW w:w="1602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420х2080</w:t>
            </w:r>
          </w:p>
        </w:tc>
        <w:tc>
          <w:tcPr>
            <w:tcW w:w="1610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297х1471</w:t>
            </w:r>
          </w:p>
        </w:tc>
      </w:tr>
      <w:tr>
        <w:trPr/>
        <w:tc>
          <w:tcPr>
            <w:tcW w:w="1601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8</w:t>
            </w:r>
          </w:p>
        </w:tc>
        <w:tc>
          <w:tcPr>
            <w:tcW w:w="1602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</w:p>
        </w:tc>
        <w:tc>
          <w:tcPr>
            <w:tcW w:w="1610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297х1682</w:t>
            </w:r>
          </w:p>
        </w:tc>
      </w:tr>
      <w:tr>
        <w:trPr/>
        <w:tc>
          <w:tcPr>
            <w:tcW w:w="1601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9</w:t>
            </w:r>
          </w:p>
        </w:tc>
        <w:tc>
          <w:tcPr>
            <w:tcW w:w="1602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-</w:t>
            </w:r>
          </w:p>
        </w:tc>
        <w:tc>
          <w:tcPr>
            <w:tcW w:w="1610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297х1892</w:t>
            </w:r>
          </w:p>
        </w:tc>
      </w:tr>
    </w:tbl>
    <w:p>
      <w:pPr>
        <w:pStyle w:val="875"/>
        <w:pBdr/>
        <w:spacing w:line="360" w:lineRule="auto"/>
        <w:ind/>
        <w:jc w:val="center"/>
        <w:rPr/>
      </w:pPr>
      <w:r>
        <w:t xml:space="preserve">Таблица 2</w:t>
      </w:r>
    </w:p>
    <w:p>
      <w:pPr>
        <w:pStyle w:val="875"/>
        <w:pBdr/>
        <w:spacing w:line="360" w:lineRule="auto"/>
        <w:ind/>
        <w:rPr/>
      </w:pPr>
      <w:r>
        <w:t xml:space="preserve">Предельные отклонения сторон форматов - по табл.3.</w:t>
      </w:r>
    </w:p>
    <w:p>
      <w:pPr>
        <w:pStyle w:val="875"/>
        <w:pBdr/>
        <w:spacing w:line="360" w:lineRule="auto"/>
        <w:ind/>
        <w:jc w:val="center"/>
        <w:rPr/>
      </w:pPr>
      <w:r>
        <w:t xml:space="preserve">мм</w:t>
      </w:r>
    </w:p>
    <w:tbl>
      <w:tblPr>
        <w:tblStyle w:val="883"/>
        <w:tblW w:w="0" w:type="auto"/>
        <w:tblBorders/>
        <w:tblLook w:val="04A0" w:firstRow="1" w:lastRow="0" w:firstColumn="1" w:lastColumn="0" w:noHBand="0" w:noVBand="1"/>
      </w:tblPr>
      <w:tblGrid>
        <w:gridCol w:w="4814"/>
        <w:gridCol w:w="4814"/>
      </w:tblGrid>
      <w:tr>
        <w:trPr/>
        <w:tc>
          <w:tcPr>
            <w:tcW w:w="4814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Размеры сторон форматов</w:t>
            </w:r>
          </w:p>
        </w:tc>
        <w:tc>
          <w:tcPr>
            <w:tcW w:w="4814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Предельные отклонения</w:t>
            </w:r>
          </w:p>
        </w:tc>
      </w:tr>
      <w:tr>
        <w:trPr/>
        <w:tc>
          <w:tcPr>
            <w:tcW w:w="4814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До 150</w:t>
            </w:r>
          </w:p>
        </w:tc>
        <w:tc>
          <w:tcPr>
            <w:tcW w:w="4814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1,5</w:t>
            </w:r>
          </w:p>
        </w:tc>
      </w:tr>
      <w:tr>
        <w:trPr/>
        <w:tc>
          <w:tcPr>
            <w:tcW w:w="4814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Св. 150 до 600</w:t>
            </w:r>
          </w:p>
        </w:tc>
        <w:tc>
          <w:tcPr>
            <w:tcW w:w="4814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2,0</w:t>
            </w:r>
          </w:p>
        </w:tc>
      </w:tr>
      <w:tr>
        <w:trPr/>
        <w:tc>
          <w:tcPr>
            <w:tcW w:w="4814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Св. до 600</w:t>
            </w:r>
          </w:p>
        </w:tc>
        <w:tc>
          <w:tcPr>
            <w:tcW w:w="4814" w:type="dxa"/>
            <w:tcBorders/>
            <w:noWrap w:val="false"/>
            <w:textDirection w:val="lrTb"/>
          </w:tcPr>
          <w:p>
            <w:pPr>
              <w:pStyle w:val="875"/>
              <w:pBdr/>
              <w:spacing w:line="360" w:lineRule="auto"/>
              <w:ind w:firstLine="0"/>
              <w:jc w:val="center"/>
              <w:rPr/>
            </w:pPr>
            <w:r>
              <w:t xml:space="preserve">3,0</w:t>
            </w:r>
          </w:p>
        </w:tc>
      </w:tr>
    </w:tbl>
    <w:p>
      <w:pPr>
        <w:pStyle w:val="875"/>
        <w:pBdr/>
        <w:spacing w:line="360" w:lineRule="auto"/>
        <w:ind/>
        <w:jc w:val="center"/>
        <w:rPr/>
      </w:pPr>
      <w:r>
        <w:t xml:space="preserve">Таблица 3</w:t>
      </w:r>
    </w:p>
    <w:p>
      <w:pPr>
        <w:pStyle w:val="875"/>
        <w:pBdr/>
        <w:spacing w:line="360" w:lineRule="auto"/>
        <w:ind/>
        <w:rPr/>
      </w:pPr>
      <w:r>
        <w:t xml:space="preserve">Документы в электронной форме в своей реквизитной час</w:t>
      </w:r>
      <w:r>
        <w:t xml:space="preserve">ти должны содержать обозначение </w:t>
      </w:r>
      <w:r>
        <w:t xml:space="preserve">формата листа бумажного носителя, при выводе на который масштаб отображения будет</w:t>
      </w:r>
      <w:r>
        <w:t xml:space="preserve"> </w:t>
      </w:r>
      <w:r>
        <w:t xml:space="preserve">соответствовать указанному</w:t>
      </w:r>
    </w:p>
    <w:p>
      <w:pPr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5"/>
        <w:pBdr/>
        <w:spacing w:line="240" w:lineRule="auto"/>
        <w:ind/>
        <w:outlineLvl w:val="1"/>
        <w:rPr>
          <w:highlight w:val="none"/>
        </w:rPr>
      </w:pPr>
      <w:r>
        <w:t xml:space="preserve">2.2 </w:t>
      </w:r>
      <w:r>
        <w:t xml:space="preserve">Оформление титульного листа</w:t>
      </w:r>
    </w:p>
    <w:p>
      <w:pPr>
        <w:pStyle w:val="875"/>
        <w:pBdr/>
        <w:spacing w:line="240" w:lineRule="auto"/>
        <w:ind/>
        <w:outlineLvl w:val="1"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Федеральное государственное образовательное бюджетное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учреждение высшего образования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«Финансовый университет при Правительстве Российской Федерации»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(Финансовый университет)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Благовещенский филиал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Финуниверситета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4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Практическая работа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по стандартизации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40" w:line="240" w:lineRule="auto"/>
        <w:ind/>
        <w:jc w:val="center"/>
        <w:rPr>
          <w:rFonts w:ascii="Times New Roman" w:hAnsi="Times New Roman" w:eastAsia="Times New Roman" w:cs="Times New Roman"/>
          <w:sz w:val="40"/>
          <w:szCs w:val="40"/>
          <w:lang w:eastAsia="ru-RU"/>
        </w:rPr>
      </w:pP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</w:p>
    <w:p>
      <w:pPr>
        <w:pBdr/>
        <w:spacing w:after="24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Тема «Стандартизация, сертификация и техническое документирование»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right"/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Студент группы: 218   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Логунов Максим Егорович</w:t>
        <w:tab/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                              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фамилия,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имя,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  <w:t xml:space="preserve">отчество)   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     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</w:r>
    </w:p>
    <w:p>
      <w:pPr>
        <w:pBdr/>
        <w:spacing w:after="0" w:line="240" w:lineRule="auto"/>
        <w:ind/>
        <w:jc w:val="right"/>
        <w:rPr>
          <w:rFonts w:ascii="Times New Roman" w:hAnsi="Times New Roman" w:eastAsia="Times New Roman" w:cs="Times New Roman"/>
          <w:sz w:val="40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                     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ab/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</w:p>
    <w:p>
      <w:pPr>
        <w:pBdr/>
        <w:spacing w:after="240" w:before="240" w:line="240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Специальность (код и наименование специальности):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09.02.05 «Прикладная информатика (по отраслям)» базовой подготовки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sz w:val="28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(индекс и наименование специальности)</w:t>
      </w:r>
      <w:r>
        <w:rPr>
          <w:rFonts w:ascii="Times New Roman" w:hAnsi="Times New Roman" w:eastAsia="Times New Roman" w:cs="Times New Roman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40"/>
          <w:lang w:eastAsia="ru-RU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sz w:val="40"/>
          <w:szCs w:val="40"/>
          <w:lang w:eastAsia="ru-RU"/>
        </w:rPr>
      </w:pP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  <w:r>
        <w:rPr>
          <w:rFonts w:ascii="Times New Roman" w:hAnsi="Times New Roman" w:eastAsia="Times New Roman" w:cs="Times New Roman"/>
          <w:sz w:val="40"/>
          <w:szCs w:val="40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Руководитель </w: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</w:p>
    <w:p>
      <w:pPr>
        <w:pBdr/>
        <w:spacing w:after="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работы</w:t>
      </w:r>
      <w:r>
        <w:rPr>
          <w:rFonts w:ascii="Times New Roman" w:hAnsi="Times New Roman" w:eastAsia="Times New Roman" w:cs="Times New Roman"/>
          <w:color w:val="000000"/>
          <w:sz w:val="36"/>
          <w:szCs w:val="40"/>
          <w:lang w:eastAsia="ru-RU"/>
        </w:rPr>
        <w:t xml:space="preserve">      </w:t>
      </w:r>
      <w:r>
        <w:rPr>
          <w:rFonts w:ascii="Times New Roman" w:hAnsi="Times New Roman" w:eastAsia="Times New Roman" w:cs="Times New Roman"/>
          <w:color w:val="000000"/>
          <w:sz w:val="36"/>
          <w:szCs w:val="40"/>
          <w:lang w:eastAsia="ru-RU"/>
        </w:rPr>
        <w:t xml:space="preserve">                       </w:t>
      </w:r>
      <w:r>
        <w:rPr>
          <w:rFonts w:ascii="Times New Roman" w:hAnsi="Times New Roman" w:eastAsia="Times New Roman" w:cs="Times New Roman"/>
          <w:color w:val="000000"/>
          <w:sz w:val="40"/>
          <w:szCs w:val="40"/>
          <w:lang w:eastAsia="ru-RU"/>
        </w:rPr>
        <w:t xml:space="preserve">__________    </w: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Вдовенко Никита Максимович</w: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</w:p>
    <w:p>
      <w:pPr>
        <w:pBdr/>
        <w:spacing w:after="240" w:line="240" w:lineRule="auto"/>
        <w:ind/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pPr>
      <w:r>
        <w:rPr>
          <w:rFonts w:ascii="Times New Roman" w:hAnsi="Times New Roman" w:eastAsia="Times New Roman" w:cs="Times New Roman"/>
          <w:sz w:val="32"/>
          <w:szCs w:val="40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2513965</wp:posOffset>
                </wp:positionH>
                <wp:positionV relativeFrom="paragraph">
                  <wp:posOffset>81280</wp:posOffset>
                </wp:positionV>
                <wp:extent cx="800100" cy="314325"/>
                <wp:effectExtent l="0" t="0" r="19050" b="28575"/>
                <wp:wrapSquare wrapText="bothSides"/>
                <wp:docPr id="3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14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 xml:space="preserve">(подпись)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2336;o:allowoverlap:true;o:allowincell:true;mso-position-horizontal-relative:text;margin-left:197.95pt;mso-position-horizontal:absolute;mso-position-vertical-relative:text;margin-top:6.40pt;mso-position-vertical:absolute;width:63.00pt;height:24.75pt;mso-wrap-distance-left:9.00pt;mso-wrap-distance-top:3.60pt;mso-wrap-distance-right:9.00pt;mso-wrap-distance-bottom:3.60pt;v-text-anchor:top;visibility:visible;" fillcolor="#FFFFFF" strokecolor="#FFFFFF" strokeweight="0.75pt">
                <w10:wrap type="square"/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  <w:t xml:space="preserve">(подпись)</w:t>
                      </w:r>
                      <w:r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</w:rPr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40"/>
          <w:lang w:eastAsia="ru-R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3978615</wp:posOffset>
                </wp:positionH>
                <wp:positionV relativeFrom="paragraph">
                  <wp:posOffset>53340</wp:posOffset>
                </wp:positionV>
                <wp:extent cx="1866900" cy="266700"/>
                <wp:effectExtent l="4762" t="4762" r="4762" b="4762"/>
                <wp:wrapSquare wrapText="bothSides"/>
                <wp:docPr id="4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 flipH="0" flipV="0">
                          <a:off x="0" y="0"/>
                          <a:ext cx="1866899" cy="2666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 xml:space="preserve">(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 xml:space="preserve">фамилия,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 xml:space="preserve">имя,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  <w:sz w:val="24"/>
                                <w:szCs w:val="24"/>
                                <w:lang w:eastAsia="ru-RU"/>
                              </w:rPr>
                              <w:t xml:space="preserve">отчество)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251663360;o:allowoverlap:true;o:allowincell:true;mso-position-horizontal-relative:text;margin-left:313.28pt;mso-position-horizontal:absolute;mso-position-vertical-relative:text;margin-top:4.20pt;mso-position-vertical:absolute;width:147.00pt;height:21.00pt;mso-wrap-distance-left:9.00pt;mso-wrap-distance-top:3.60pt;mso-wrap-distance-right:9.00pt;mso-wrap-distance-bottom:3.60pt;v-text-anchor:top;visibility:visible;" fillcolor="#FFFFFF" strokecolor="#FFFFFF" strokeweight="0.75pt">
                <w10:wrap type="square"/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w:t xml:space="preserve">(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w:t xml:space="preserve">фамилия,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w:t xml:space="preserve">имя,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  <w:sz w:val="24"/>
                          <w:szCs w:val="24"/>
                          <w:lang w:eastAsia="ru-RU"/>
                        </w:rPr>
                        <w:t xml:space="preserve">отчество)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  <w:t xml:space="preserve">              </w:t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color w:val="000000"/>
          <w:sz w:val="28"/>
          <w:szCs w:val="40"/>
          <w:lang w:eastAsia="ru-RU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240" w:lineRule="auto"/>
        <w:ind w:left="708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Благовещенск</w:t>
      </w:r>
      <m:oMath>
        <m:r>
          <m:rPr/>
          <w:rPr>
            <w:rFonts w:ascii="Cambria Math" w:hAnsi="Cambria Math" w:cs="Times New Roman"/>
            <w:sz w:val="28"/>
            <w:szCs w:val="28"/>
          </w:rPr>
          <m:t>-</m:t>
        </m:r>
      </m:oMath>
      <w:r>
        <w:rPr>
          <w:rFonts w:ascii="Times New Roman" w:hAnsi="Times New Roman" w:cs="Times New Roman"/>
          <w:sz w:val="28"/>
          <w:szCs w:val="28"/>
        </w:rPr>
        <w:t xml:space="preserve">2025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75"/>
        <w:pBdr/>
        <w:spacing/>
        <w:ind w:firstLine="0"/>
        <w:outlineLvl w:val="1"/>
        <w:rPr/>
      </w:pPr>
      <w:r>
        <w:t xml:space="preserve">2.3</w:t>
      </w:r>
      <w:r>
        <w:t xml:space="preserve"> Создание характеристик</w:t>
      </w:r>
    </w:p>
    <w:p>
      <w:pPr>
        <w:pStyle w:val="875"/>
        <w:pBdr/>
        <w:spacing/>
        <w:ind/>
        <w:rPr/>
      </w:pPr>
      <w:r>
        <w:t xml:space="preserve">Спецификация на компьютерный стол</w:t>
      </w:r>
    </w:p>
    <w:tbl>
      <w:tblPr>
        <w:tblStyle w:val="883"/>
        <w:tblW w:w="0" w:type="auto"/>
        <w:tblBorders/>
        <w:tblLook w:val="04A0" w:firstRow="1" w:lastRow="0" w:firstColumn="1" w:lastColumn="0" w:noHBand="0" w:noVBand="1"/>
      </w:tblPr>
      <w:tblGrid>
        <w:gridCol w:w="1093"/>
        <w:gridCol w:w="1386"/>
        <w:gridCol w:w="1775"/>
        <w:gridCol w:w="2082"/>
        <w:gridCol w:w="1083"/>
        <w:gridCol w:w="2209"/>
      </w:tblGrid>
      <w:tr>
        <w:trPr/>
        <w:tc>
          <w:tcPr>
            <w:tcW w:w="1604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Зона</w:t>
            </w:r>
          </w:p>
        </w:tc>
        <w:tc>
          <w:tcPr>
            <w:tcW w:w="1604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Позиция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Обозначение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Наименование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Кол.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Примечание</w:t>
            </w:r>
          </w:p>
        </w:tc>
      </w:tr>
      <w:tr>
        <w:trPr/>
        <w:tc>
          <w:tcPr>
            <w:tcW w:w="1604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1</w:t>
            </w:r>
          </w:p>
        </w:tc>
        <w:tc>
          <w:tcPr>
            <w:tcW w:w="1604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1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КС-001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Компьютерный стол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1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Основное изделие</w:t>
            </w:r>
          </w:p>
        </w:tc>
      </w:tr>
      <w:tr>
        <w:trPr/>
        <w:tc>
          <w:tcPr>
            <w:tcW w:w="1604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2</w:t>
            </w:r>
          </w:p>
        </w:tc>
        <w:tc>
          <w:tcPr>
            <w:tcW w:w="1604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2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КС-002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Столешница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1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Изготавливается из МДФ</w:t>
            </w:r>
          </w:p>
        </w:tc>
      </w:tr>
      <w:tr>
        <w:trPr/>
        <w:tc>
          <w:tcPr>
            <w:tcW w:w="1604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3</w:t>
            </w:r>
          </w:p>
        </w:tc>
        <w:tc>
          <w:tcPr>
            <w:tcW w:w="1604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3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КС-003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Ножка (передняя)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2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Металлическая</w:t>
            </w:r>
          </w:p>
        </w:tc>
      </w:tr>
      <w:tr>
        <w:trPr/>
        <w:tc>
          <w:tcPr>
            <w:tcW w:w="1604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4</w:t>
            </w:r>
          </w:p>
        </w:tc>
        <w:tc>
          <w:tcPr>
            <w:tcW w:w="1604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4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КС-004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Ножка (задняя)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2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Металлическая</w:t>
            </w:r>
          </w:p>
        </w:tc>
      </w:tr>
      <w:tr>
        <w:trPr/>
        <w:tc>
          <w:tcPr>
            <w:tcW w:w="1604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5</w:t>
            </w:r>
          </w:p>
        </w:tc>
        <w:tc>
          <w:tcPr>
            <w:tcW w:w="1604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5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КС-005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Полка для клавиатуры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1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Металлическая</w:t>
            </w:r>
          </w:p>
        </w:tc>
      </w:tr>
      <w:tr>
        <w:trPr/>
        <w:tc>
          <w:tcPr>
            <w:tcW w:w="1604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6</w:t>
            </w:r>
          </w:p>
        </w:tc>
        <w:tc>
          <w:tcPr>
            <w:tcW w:w="1604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6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КС-006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Ящик для документов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1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Металлическая</w:t>
            </w:r>
          </w:p>
        </w:tc>
      </w:tr>
      <w:tr>
        <w:trPr/>
        <w:tc>
          <w:tcPr>
            <w:tcW w:w="1604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7</w:t>
            </w:r>
          </w:p>
        </w:tc>
        <w:tc>
          <w:tcPr>
            <w:tcW w:w="1604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7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КС-007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Фурнитура (винты, крепеж)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1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Для сборки стола</w:t>
            </w:r>
          </w:p>
        </w:tc>
      </w:tr>
      <w:tr>
        <w:trPr/>
        <w:tc>
          <w:tcPr>
            <w:tcW w:w="1604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8</w:t>
            </w:r>
          </w:p>
        </w:tc>
        <w:tc>
          <w:tcPr>
            <w:tcW w:w="1604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8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КС-008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Инструкция по сборке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1</w:t>
            </w:r>
          </w:p>
        </w:tc>
        <w:tc>
          <w:tcPr>
            <w:tcW w:w="1605" w:type="dxa"/>
            <w:tcBorders/>
            <w:noWrap w:val="false"/>
            <w:textDirection w:val="lrTb"/>
          </w:tcPr>
          <w:p>
            <w:pPr>
              <w:pStyle w:val="875"/>
              <w:pBdr/>
              <w:spacing/>
              <w:ind w:firstLine="0"/>
              <w:rPr/>
            </w:pPr>
            <w:r>
              <w:t xml:space="preserve">В комплекте</w:t>
            </w:r>
          </w:p>
        </w:tc>
      </w:tr>
    </w:tbl>
    <w:p>
      <w:pPr>
        <w:pStyle w:val="875"/>
        <w:pBdr/>
        <w:spacing/>
        <w:ind/>
        <w:rPr/>
      </w:pPr>
    </w:p>
    <w:p>
      <w:pPr>
        <w:pStyle w:val="875"/>
        <w:pBdr/>
        <w:spacing/>
        <w:ind/>
        <w:jc w:val="center"/>
        <w:rPr>
          <w:b/>
        </w:rPr>
      </w:pPr>
      <w:r>
        <w:rPr>
          <w:b/>
        </w:rPr>
        <w:t xml:space="preserve">Разделы характеристик:</w:t>
      </w:r>
      <w:r>
        <w:rPr>
          <w:b/>
        </w:rPr>
      </w:r>
      <w:r>
        <w:rPr>
          <w:b/>
        </w:rPr>
      </w:r>
    </w:p>
    <w:p>
      <w:pPr>
        <w:pStyle w:val="875"/>
        <w:pBdr/>
        <w:spacing/>
        <w:ind/>
        <w:rPr/>
      </w:pPr>
      <w:r>
        <w:t xml:space="preserve">Документация</w:t>
      </w:r>
      <w:r>
        <w:t xml:space="preserve">:</w:t>
      </w:r>
    </w:p>
    <w:p>
      <w:pPr>
        <w:pStyle w:val="880"/>
        <w:pBdr/>
        <w:spacing/>
        <w:ind/>
        <w:rPr/>
      </w:pPr>
      <w:r>
        <w:t xml:space="preserve">Инструкция по сборке (КС-008)</w:t>
      </w:r>
    </w:p>
    <w:p>
      <w:pPr>
        <w:pStyle w:val="875"/>
        <w:pBdr/>
        <w:spacing/>
        <w:ind/>
        <w:rPr/>
      </w:pPr>
      <w:r>
        <w:t xml:space="preserve">Комплексы</w:t>
      </w:r>
      <w:r>
        <w:t xml:space="preserve">:</w:t>
      </w:r>
    </w:p>
    <w:p>
      <w:pPr>
        <w:pStyle w:val="880"/>
        <w:pBdr/>
        <w:spacing/>
        <w:ind/>
        <w:rPr/>
      </w:pPr>
      <w:r>
        <w:t xml:space="preserve">Компьютерный стол (КС-001)</w:t>
      </w:r>
    </w:p>
    <w:p>
      <w:pPr>
        <w:pStyle w:val="875"/>
        <w:pBdr/>
        <w:spacing/>
        <w:ind/>
        <w:rPr/>
      </w:pPr>
      <w:r>
        <w:t xml:space="preserve">Сборочные материалы</w:t>
      </w:r>
      <w:r>
        <w:t xml:space="preserve">:</w:t>
      </w:r>
    </w:p>
    <w:p>
      <w:pPr>
        <w:pStyle w:val="880"/>
        <w:pBdr/>
        <w:spacing/>
        <w:ind/>
        <w:rPr/>
      </w:pPr>
      <w:r>
        <w:t xml:space="preserve">Фурнитура (КС-007)</w:t>
      </w:r>
    </w:p>
    <w:p>
      <w:pPr>
        <w:pStyle w:val="875"/>
        <w:pBdr/>
        <w:spacing/>
        <w:ind/>
        <w:rPr/>
      </w:pPr>
      <w:r>
        <w:t xml:space="preserve">Детали</w:t>
      </w:r>
      <w:r>
        <w:t xml:space="preserve">:</w:t>
      </w:r>
    </w:p>
    <w:p>
      <w:pPr>
        <w:pStyle w:val="880"/>
        <w:pBdr/>
        <w:spacing/>
        <w:ind/>
        <w:rPr/>
      </w:pPr>
      <w:r>
        <w:t xml:space="preserve">Столешница (КС-002)</w:t>
      </w:r>
    </w:p>
    <w:p>
      <w:pPr>
        <w:pStyle w:val="880"/>
        <w:pBdr/>
        <w:spacing/>
        <w:ind/>
        <w:rPr/>
      </w:pPr>
      <w:r>
        <w:t xml:space="preserve">Ножка (передняя) (КС-003)</w:t>
      </w:r>
    </w:p>
    <w:p>
      <w:pPr>
        <w:pStyle w:val="880"/>
        <w:pBdr/>
        <w:spacing/>
        <w:ind/>
        <w:rPr/>
      </w:pPr>
      <w:r>
        <w:t xml:space="preserve">• Ножка (задняя) (КС-004)</w:t>
      </w:r>
    </w:p>
    <w:p>
      <w:pPr>
        <w:pStyle w:val="880"/>
        <w:pBdr/>
        <w:spacing/>
        <w:ind w:right="0" w:firstLine="709" w:left="0"/>
        <w:rPr/>
      </w:pPr>
      <w:r>
        <w:t xml:space="preserve">• Полка для клавиатуры (КС-005)</w:t>
      </w:r>
    </w:p>
    <w:p>
      <w:pPr>
        <w:pStyle w:val="880"/>
        <w:pBdr/>
        <w:spacing/>
        <w:ind/>
        <w:rPr/>
      </w:pPr>
      <w:r>
        <w:t xml:space="preserve">• Ящик для документов (КС-006)</w:t>
      </w:r>
    </w:p>
    <w:p>
      <w:pPr>
        <w:pStyle w:val="875"/>
        <w:pBdr/>
        <w:spacing/>
        <w:ind/>
        <w:rPr/>
      </w:pPr>
      <w:r>
        <w:t xml:space="preserve">Стандартные</w:t>
      </w:r>
      <w:r>
        <w:t xml:space="preserve"> изделия</w:t>
      </w:r>
      <w:r>
        <w:t xml:space="preserve">:</w:t>
      </w:r>
    </w:p>
    <w:p>
      <w:pPr>
        <w:pStyle w:val="880"/>
        <w:pBdr/>
        <w:spacing/>
        <w:ind/>
        <w:rPr/>
      </w:pPr>
      <w:r>
        <w:t xml:space="preserve">Фур</w:t>
      </w:r>
      <w:r>
        <w:t xml:space="preserve">нитура (винты, крепеж) (КС-007)</w:t>
      </w:r>
    </w:p>
    <w:p>
      <w:pPr>
        <w:pStyle w:val="875"/>
        <w:pBdr/>
        <w:spacing/>
        <w:ind/>
        <w:rPr/>
      </w:pPr>
      <w:r>
        <w:t xml:space="preserve">Материалы</w:t>
      </w:r>
      <w:r>
        <w:t xml:space="preserve">:</w:t>
      </w:r>
    </w:p>
    <w:p>
      <w:pPr>
        <w:pStyle w:val="880"/>
        <w:pBdr/>
        <w:spacing/>
        <w:ind/>
        <w:rPr/>
      </w:pPr>
      <w:r>
        <w:t xml:space="preserve">МДФ для столешницы, полки и ящика</w:t>
      </w:r>
    </w:p>
    <w:p>
      <w:pPr>
        <w:pStyle w:val="880"/>
        <w:pBdr/>
        <w:spacing/>
        <w:ind/>
        <w:rPr/>
      </w:pPr>
      <w:r>
        <w:t xml:space="preserve">Металл для ножек</w:t>
      </w:r>
    </w:p>
    <w:p>
      <w:pPr>
        <w:pStyle w:val="875"/>
        <w:pBdr/>
        <w:spacing/>
        <w:ind/>
        <w:rPr/>
      </w:pPr>
      <w:r>
        <w:t xml:space="preserve">Комплекты</w:t>
      </w:r>
      <w:r>
        <w:t xml:space="preserve">:</w:t>
      </w:r>
    </w:p>
    <w:p>
      <w:pPr>
        <w:pStyle w:val="875"/>
        <w:pBdr/>
        <w:spacing/>
        <w:ind/>
        <w:rPr/>
      </w:pPr>
      <w:r>
        <w:t xml:space="preserve">Комплект для сборки компьютерного стола (включает все указанные детали и фурнитуру)</w:t>
      </w:r>
    </w:p>
    <w:p>
      <w:pPr>
        <w:pStyle w:val="875"/>
        <w:pBdr/>
        <w:spacing w:line="360" w:lineRule="auto"/>
        <w:ind w:firstLine="0"/>
        <w:outlineLvl w:val="1"/>
        <w:rPr/>
      </w:pPr>
      <w:r>
        <w:t xml:space="preserve">2.4 </w:t>
      </w:r>
      <w:r>
        <w:t xml:space="preserve">Анализ сертификата соответствия</w:t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Анализ гипотетического сертификата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Сертификат № РОСС RU.АА89.В12345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Орган по сертификации: ООО «Промсертификация»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Срок действия: с 01 января 2025 г. по 31 декабря 2028 г.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firstLine="0"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Нормативные документы, которым соответствует продукция: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74"/>
        <w:numPr>
          <w:ilvl w:val="0"/>
          <w:numId w:val="22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ГОСТ Р 50274-2020 («Безопасность оборудования общего назначения»)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74"/>
        <w:numPr>
          <w:ilvl w:val="0"/>
          <w:numId w:val="22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Технический регламент Таможенного союза ТР ТС 010/2011 («О безопасности машин и оборудования»)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Наименование продукции: Электрический чайник марки «ТермоТех»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Схема сертификации: Сертификат выдан по схеме 1с (оценка серийного производства с последующим инспекционным контролем).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/>
        <w:spacing w:line="360" w:lineRule="auto"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ЧАСТЬ 3 КОНТРОЛЬНОЕ ЗАДАНИЕ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3.1 Тестирование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center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1. ГОСТ расшифровывается как: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а) Государственный отраслевой стандарт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б) Государственный общий стандарт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в) Государственный стандарт</w:t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Bdr/>
        <w:spacing w:line="360" w:lineRule="auto"/>
        <w:ind w:left="0"/>
        <w:jc w:val="center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2. Формат А4 имеет размеры: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а) 297×420 мм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б) 210×297 мм</w:t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в) 148×210 мм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center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3. Обязательная сертификация проводится для: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а) Всех видов продукции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б) Продукция, включенная в перечень</w:t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в) Только импортной продукции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center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4. Основная надпись на чертежах означает: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а) В нижней части шкафа</w:t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б) В нижнем шкафу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в) По центру листа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center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5. ЕСКД - эта система соответствует: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>
          <w:highlight w:val="yellow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а) Единая система конструкторской документации</w:t>
      </w:r>
      <w:r>
        <w:rPr>
          <w:rFonts w:ascii="Times New Roman" w:hAnsi="Times New Roman" w:cs="Times New Roman"/>
          <w:sz w:val="28"/>
          <w:szCs w:val="28"/>
          <w:highlight w:val="yellow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б) Единая система классификации документов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в) Документация по единой системе контроля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hd w:val="nil"/>
        <w:spacing w:line="360" w:lineRule="auto"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75"/>
        <w:pBdr/>
        <w:spacing w:line="360" w:lineRule="auto"/>
        <w:ind w:firstLine="0"/>
        <w:outlineLvl w:val="1"/>
        <w:rPr/>
      </w:pPr>
      <w:r>
        <w:t xml:space="preserve">3.2 Практическая работа</w:t>
      </w:r>
    </w:p>
    <w:p>
      <w:pPr>
        <w:pBdr/>
        <w:spacing w:line="360" w:lineRule="auto"/>
        <w:ind w:left="0"/>
        <w:jc w:val="center"/>
        <w:rPr>
          <w:b/>
          <w:bCs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Комплект документации технического изделия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center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Название изделия: Полка настенная деревянная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Чертеж общего вида с основной надписью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74"/>
        <w:numPr>
          <w:ilvl w:val="0"/>
          <w:numId w:val="28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Название чертежа: Общий вид полки настенной деревянной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74"/>
        <w:numPr>
          <w:ilvl w:val="0"/>
          <w:numId w:val="27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Обозначение: ПОЛКА-НД-01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74"/>
        <w:numPr>
          <w:ilvl w:val="0"/>
          <w:numId w:val="26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Масштаб: 1:1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874"/>
        <w:numPr>
          <w:ilvl w:val="0"/>
          <w:numId w:val="25"/>
        </w:numPr>
        <w:pBdr/>
        <w:spacing w:line="360" w:lineRule="auto"/>
        <w:ind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Основная надпись: Основные размеры указаны в миллиметрах.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 w:themeColor="text1"/>
          <w:spacing w:val="-5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line="360" w:lineRule="auto"/>
        <w:ind w:firstLine="0" w:left="709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 w:themeColor="text1"/>
          <w:spacing w:val="-5"/>
          <w:sz w:val="28"/>
          <w:szCs w:val="28"/>
        </w:rPr>
        <w:t xml:space="preserve">Спецификация всех составных частей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ff0f2" w:fill="eff0f2"/>
        <w:spacing w:after="0" w:before="0" w:line="360" w:lineRule="auto"/>
        <w:ind w:right="0" w:firstLine="0" w:left="0"/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5"/>
          <w:sz w:val="28"/>
          <w:szCs w:val="28"/>
        </w:rPr>
        <w:t xml:space="preserve">Таблица спецификации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5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eff0f2" w:fill="eff0f2"/>
        <w:spacing w:after="0" w:before="0" w:line="360" w:lineRule="auto"/>
        <w:ind w:right="0" w:firstLine="0" w:left="0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pacing w:val="-5"/>
          <w:sz w:val="28"/>
          <w:szCs w:val="28"/>
          <w:highlight w:val="none"/>
        </w:rPr>
      </w:r>
    </w:p>
    <w:tbl>
      <w:tblPr>
        <w:tblStyle w:val="883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2112"/>
        <w:gridCol w:w="2601"/>
        <w:gridCol w:w="1355"/>
        <w:gridCol w:w="1201"/>
        <w:gridCol w:w="2085"/>
      </w:tblGrid>
      <w:tr>
        <w:trPr/>
        <w:tc>
          <w:tcPr>
            <w:tcW w:w="2112" w:type="dxa"/>
            <w:tcBorders/>
            <w:noWrap w:val="false"/>
            <w:textDirection w:val="lrTb"/>
            <w:vAlign w:val="bottom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Обозначение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W w:w="2601" w:type="dxa"/>
            <w:tcBorders/>
            <w:noWrap w:val="false"/>
            <w:textDirection w:val="lrTb"/>
            <w:vAlign w:val="bottom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Наименование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W w:w="1355" w:type="dxa"/>
            <w:tcBorders/>
            <w:noWrap w:val="false"/>
            <w:textDirection w:val="lrTb"/>
            <w:vAlign w:val="bottom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Количество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W w:w="1201" w:type="dxa"/>
            <w:tcBorders/>
            <w:noWrap w:val="false"/>
            <w:textDirection w:val="lrTb"/>
            <w:vAlign w:val="bottom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Материал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W w:w="2085" w:type="dxa"/>
            <w:tcBorders/>
            <w:noWrap w:val="false"/>
            <w:textDirection w:val="lrTb"/>
            <w:vAlign w:val="bottom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Примечание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W w:w="2112" w:type="dxa"/>
            <w:tcBorders/>
            <w:noWrap w:val="false"/>
            <w:textDirection w:val="lrTb"/>
            <w:vAlign w:val="top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ПОЛКА-НД-01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W w:w="2601" w:type="dxa"/>
            <w:tcBorders/>
            <w:noWrap w:val="false"/>
            <w:textDirection w:val="lrTb"/>
            <w:vAlign w:val="top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Полка настенная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W w:w="1355" w:type="dxa"/>
            <w:tcBorders/>
            <w:noWrap w:val="false"/>
            <w:textDirection w:val="lrTb"/>
            <w:vAlign w:val="top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1 шт.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W w:w="1201" w:type="dxa"/>
            <w:tcBorders/>
            <w:noWrap w:val="false"/>
            <w:textDirection w:val="lrTb"/>
            <w:vAlign w:val="top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Древесина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W w:w="2085" w:type="dxa"/>
            <w:tcBorders/>
            <w:noWrap w:val="false"/>
            <w:textDirection w:val="lrTb"/>
            <w:vAlign w:val="top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Основа конструкции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W w:w="2112" w:type="dxa"/>
            <w:tcBorders/>
            <w:noWrap w:val="false"/>
            <w:textDirection w:val="lrTb"/>
            <w:vAlign w:val="top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КРЕПЛЕНИЕ-КР-01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W w:w="2601" w:type="dxa"/>
            <w:tcBorders/>
            <w:noWrap w:val="false"/>
            <w:textDirection w:val="lrTb"/>
            <w:vAlign w:val="top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Крепление (саморез)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W w:w="1355" w:type="dxa"/>
            <w:tcBorders/>
            <w:noWrap w:val="false"/>
            <w:textDirection w:val="lrTb"/>
            <w:vAlign w:val="top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6 шт.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W w:w="1201" w:type="dxa"/>
            <w:tcBorders/>
            <w:noWrap w:val="false"/>
            <w:textDirection w:val="lrTb"/>
            <w:vAlign w:val="top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Сталь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W w:w="2085" w:type="dxa"/>
            <w:tcBorders/>
            <w:noWrap w:val="false"/>
            <w:textDirection w:val="lrTb"/>
            <w:vAlign w:val="top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Для крепления к стене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  <w:tr>
        <w:trPr/>
        <w:tc>
          <w:tcPr>
            <w:tcW w:w="2112" w:type="dxa"/>
            <w:tcBorders/>
            <w:noWrap w:val="false"/>
            <w:textDirection w:val="lrTb"/>
            <w:vAlign w:val="top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ОПОРА-ОП-01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W w:w="2601" w:type="dxa"/>
            <w:tcBorders/>
            <w:noWrap w:val="false"/>
            <w:textDirection w:val="lrTb"/>
            <w:vAlign w:val="top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Опора (поддерживающая)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W w:w="1355" w:type="dxa"/>
            <w:tcBorders/>
            <w:noWrap w:val="false"/>
            <w:textDirection w:val="lrTb"/>
            <w:vAlign w:val="top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2 шт.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W w:w="1201" w:type="dxa"/>
            <w:tcBorders/>
            <w:noWrap w:val="false"/>
            <w:textDirection w:val="lrTb"/>
            <w:vAlign w:val="top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Древесина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  <w:tc>
          <w:tcPr>
            <w:tcW w:w="2085" w:type="dxa"/>
            <w:tcBorders/>
            <w:noWrap w:val="false"/>
            <w:textDirection w:val="lrTb"/>
            <w:vAlign w:val="top"/>
          </w:tcPr>
          <w:p>
            <w:pPr>
              <w:pBdr/>
              <w:spacing w:after="0" w:before="0" w:line="360" w:lineRule="auto"/>
              <w:ind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pacing w:val="-5"/>
                <w:sz w:val="28"/>
                <w:szCs w:val="28"/>
              </w:rPr>
              <w:t xml:space="preserve">Дополнительная опора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r>
          </w:p>
        </w:tc>
      </w:tr>
    </w:tbl>
    <w:p>
      <w:pPr>
        <w:pBdr/>
        <w:spacing w:line="360" w:lineRule="auto"/>
        <w:ind w:firstLine="0" w:left="709"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line="360" w:lineRule="auto"/>
        <w:ind w:firstLine="0" w:left="709"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Пояснительная записка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line="360" w:lineRule="auto"/>
        <w:ind w:firstLine="0" w:left="709"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Назначение изделия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74"/>
        <w:numPr>
          <w:ilvl w:val="0"/>
          <w:numId w:val="37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Настенная полка предназначена для хранения книг, декоративных предметов интерьера и небольших бытовых вещей. Изделие рассчитано на установку в жилых помещениях и офисах.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line="360" w:lineRule="auto"/>
        <w:ind w:firstLine="0" w:left="709"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line="360" w:lineRule="auto"/>
        <w:ind w:firstLine="0" w:left="709"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Технические характеристики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74"/>
        <w:numPr>
          <w:ilvl w:val="0"/>
          <w:numId w:val="29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Габаритные размеры: длина 600 мм × ширина 100 мм × толщина 20 мм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74"/>
        <w:numPr>
          <w:ilvl w:val="0"/>
          <w:numId w:val="29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Максимальная нагрузка: 20 кг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74"/>
        <w:numPr>
          <w:ilvl w:val="0"/>
          <w:numId w:val="29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Вес изделия: около 3 кг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74"/>
        <w:numPr>
          <w:ilvl w:val="0"/>
          <w:numId w:val="29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Способ установки: навесной монтаж на стену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line="360" w:lineRule="auto"/>
        <w:ind w:firstLine="0" w:left="709"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Используемые материалы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74"/>
        <w:numPr>
          <w:ilvl w:val="0"/>
          <w:numId w:val="33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Основой конструкции является древесина твердых пород дерева (дуб, бук). Используется также сталь для крепежных элементов (саморезы).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 w:line="360" w:lineRule="auto"/>
        <w:ind w:firstLine="0" w:left="709"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Применяемые стандарты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74"/>
        <w:numPr>
          <w:ilvl w:val="0"/>
          <w:numId w:val="34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ГОСТ 2.307-68 (Допуски и посадки деталей)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74"/>
        <w:numPr>
          <w:ilvl w:val="0"/>
          <w:numId w:val="34"/>
        </w:numPr>
        <w:pBdr/>
        <w:spacing w:line="360" w:lineRule="auto"/>
        <w:ind/>
        <w:jc w:val="left"/>
        <w:rPr/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ГОСТ 2.109-73 (ЕСКД. Основные надписи)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874"/>
        <w:numPr>
          <w:ilvl w:val="0"/>
          <w:numId w:val="34"/>
        </w:numPr>
        <w:pBdr/>
        <w:spacing w:line="360" w:lineRule="auto"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  <w:t xml:space="preserve">ГОСТ 16371-2014 (Изделия деревянные строительные)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567" w:bottom="1134" w:left="1701" w:header="709" w:footer="567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3"/>
      <w:pBdr/>
      <w:spacing/>
      <w:ind/>
      <w:jc w:val="center"/>
      <w:rPr/>
    </w:pPr>
    <w:fldSimple w:instr="PAGE \* MERGEFORMAT">
      <w:r>
        <w:t xml:space="preserve">1</w:t>
      </w:r>
    </w:fldSimple>
  </w:p>
  <w:p>
    <w:pPr>
      <w:pStyle w:val="723"/>
      <w:pBdr/>
      <w:spacing/>
      <w:ind/>
      <w:rPr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420" w:left="42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space"/>
    </w:lvl>
  </w:abstractNum>
  <w:abstractNum w:abstractNumId="1">
    <w:lvl w:ilvl="0">
      <w:isLgl w:val="false"/>
      <w:lvlJc w:val="left"/>
      <w:lvlText w:val="%1"/>
      <w:numFmt w:val="decimal"/>
      <w:pPr>
        <w:pBdr/>
        <w:spacing/>
        <w:ind w:hanging="375" w:left="375"/>
      </w:pPr>
      <w:rPr>
        <w:rFonts w:hint="default"/>
      </w:rPr>
      <w:start w:val="2"/>
      <w:suff w:val="space"/>
    </w:lvl>
    <w:lvl w:ilvl="1">
      <w:isLgl w:val="false"/>
      <w:lvlJc w:val="left"/>
      <w:lvlText w:val="%1.%2"/>
      <w:numFmt w:val="decimal"/>
      <w:pPr>
        <w:pBdr/>
        <w:spacing/>
        <w:ind w:hanging="375" w:left="375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space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space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space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space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1429"/>
      </w:pPr>
      <w:pStyle w:val="880"/>
      <w:rPr>
        <w:rFonts w:hint="default" w:ascii="Symbol" w:hAnsi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space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space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space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space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space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space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space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space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space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space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space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space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space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space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space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38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58"/>
      </w:pPr>
      <w:rPr/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hanging="360" w:left="3578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4298"/>
      </w:pPr>
      <w:rPr/>
      <w:start w:val="1"/>
      <w:suff w:val="space"/>
    </w:lvl>
    <w:lvl w:ilvl="5">
      <w:isLgl w:val="false"/>
      <w:lvlJc w:val="right"/>
      <w:lvlText w:val="%6."/>
      <w:numFmt w:val="lowerRoman"/>
      <w:pPr>
        <w:pBdr/>
        <w:spacing/>
        <w:ind w:hanging="180" w:left="5018"/>
      </w:pPr>
      <w:rPr/>
      <w:start w:val="1"/>
      <w:suff w:val="space"/>
    </w:lvl>
    <w:lvl w:ilvl="6">
      <w:isLgl w:val="false"/>
      <w:lvlJc w:val="left"/>
      <w:lvlText w:val="%7."/>
      <w:numFmt w:val="decimal"/>
      <w:pPr>
        <w:pBdr/>
        <w:spacing/>
        <w:ind w:hanging="360" w:left="5738"/>
      </w:pPr>
      <w:rPr/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6458"/>
      </w:pPr>
      <w:rPr/>
      <w:start w:val="1"/>
      <w:suff w:val="space"/>
    </w:lvl>
    <w:lvl w:ilvl="8">
      <w:isLgl w:val="false"/>
      <w:lvlJc w:val="right"/>
      <w:lvlText w:val="%9."/>
      <w:numFmt w:val="lowerRoman"/>
      <w:pPr>
        <w:pBdr/>
        <w:spacing/>
        <w:ind w:hanging="180" w:left="7178"/>
      </w:pPr>
      <w:rPr/>
      <w:start w:val="1"/>
      <w:suff w:val="space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space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space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space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space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space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space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space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space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1418"/>
      </w:pPr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space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space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space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space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space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space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space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space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space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space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space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space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space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space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70"/>
    <w:next w:val="870"/>
    <w:link w:val="695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71"/>
    <w:link w:val="694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696">
    <w:name w:val="Heading 2"/>
    <w:basedOn w:val="870"/>
    <w:next w:val="870"/>
    <w:link w:val="697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71"/>
    <w:link w:val="696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698">
    <w:name w:val="Heading 3"/>
    <w:basedOn w:val="870"/>
    <w:next w:val="870"/>
    <w:link w:val="699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71"/>
    <w:link w:val="698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00">
    <w:name w:val="Heading 4"/>
    <w:basedOn w:val="870"/>
    <w:next w:val="870"/>
    <w:link w:val="701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71"/>
    <w:link w:val="700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70"/>
    <w:next w:val="870"/>
    <w:link w:val="703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71"/>
    <w:link w:val="702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70"/>
    <w:next w:val="870"/>
    <w:link w:val="705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71"/>
    <w:link w:val="704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70"/>
    <w:next w:val="870"/>
    <w:link w:val="707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71"/>
    <w:link w:val="706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70"/>
    <w:next w:val="870"/>
    <w:link w:val="709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71"/>
    <w:link w:val="708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70"/>
    <w:next w:val="870"/>
    <w:link w:val="711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71"/>
    <w:link w:val="710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12">
    <w:name w:val="No Spacing"/>
    <w:uiPriority w:val="1"/>
    <w:qFormat/>
    <w:pPr>
      <w:pBdr/>
      <w:spacing w:after="0" w:before="0" w:line="240" w:lineRule="auto"/>
      <w:ind/>
    </w:pPr>
  </w:style>
  <w:style w:type="paragraph" w:styleId="713">
    <w:name w:val="Title"/>
    <w:basedOn w:val="870"/>
    <w:next w:val="870"/>
    <w:link w:val="714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14">
    <w:name w:val="Title Char"/>
    <w:basedOn w:val="871"/>
    <w:link w:val="713"/>
    <w:uiPriority w:val="10"/>
    <w:pPr>
      <w:pBdr/>
      <w:spacing/>
      <w:ind/>
    </w:pPr>
    <w:rPr>
      <w:sz w:val="48"/>
      <w:szCs w:val="48"/>
    </w:rPr>
  </w:style>
  <w:style w:type="paragraph" w:styleId="715">
    <w:name w:val="Subtitle"/>
    <w:basedOn w:val="870"/>
    <w:next w:val="870"/>
    <w:link w:val="716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16">
    <w:name w:val="Subtitle Char"/>
    <w:basedOn w:val="871"/>
    <w:link w:val="715"/>
    <w:uiPriority w:val="11"/>
    <w:pPr>
      <w:pBdr/>
      <w:spacing/>
      <w:ind/>
    </w:pPr>
    <w:rPr>
      <w:sz w:val="24"/>
      <w:szCs w:val="24"/>
    </w:rPr>
  </w:style>
  <w:style w:type="paragraph" w:styleId="717">
    <w:name w:val="Quote"/>
    <w:basedOn w:val="870"/>
    <w:next w:val="870"/>
    <w:link w:val="718"/>
    <w:uiPriority w:val="29"/>
    <w:qFormat/>
    <w:pPr>
      <w:pBdr/>
      <w:spacing/>
      <w:ind w:right="720" w:left="720"/>
    </w:pPr>
    <w:rPr>
      <w:i/>
    </w:rPr>
  </w:style>
  <w:style w:type="character" w:styleId="718">
    <w:name w:val="Quote Char"/>
    <w:link w:val="717"/>
    <w:uiPriority w:val="29"/>
    <w:pPr>
      <w:pBdr/>
      <w:spacing/>
      <w:ind/>
    </w:pPr>
    <w:rPr>
      <w:i/>
    </w:rPr>
  </w:style>
  <w:style w:type="paragraph" w:styleId="719">
    <w:name w:val="Intense Quote"/>
    <w:basedOn w:val="870"/>
    <w:next w:val="870"/>
    <w:link w:val="720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20">
    <w:name w:val="Intense Quote Char"/>
    <w:link w:val="719"/>
    <w:uiPriority w:val="30"/>
    <w:pPr>
      <w:pBdr/>
      <w:spacing/>
      <w:ind/>
    </w:pPr>
    <w:rPr>
      <w:i/>
    </w:rPr>
  </w:style>
  <w:style w:type="paragraph" w:styleId="721">
    <w:name w:val="Header"/>
    <w:basedOn w:val="870"/>
    <w:link w:val="722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22">
    <w:name w:val="Header Char"/>
    <w:basedOn w:val="871"/>
    <w:link w:val="721"/>
    <w:uiPriority w:val="99"/>
    <w:pPr>
      <w:pBdr/>
      <w:spacing/>
      <w:ind/>
    </w:pPr>
  </w:style>
  <w:style w:type="paragraph" w:styleId="723">
    <w:name w:val="Footer"/>
    <w:basedOn w:val="870"/>
    <w:link w:val="726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24">
    <w:name w:val="Footer Char"/>
    <w:basedOn w:val="871"/>
    <w:link w:val="723"/>
    <w:uiPriority w:val="99"/>
    <w:pPr>
      <w:pBdr/>
      <w:spacing/>
      <w:ind/>
    </w:pPr>
  </w:style>
  <w:style w:type="paragraph" w:styleId="725">
    <w:name w:val="Caption"/>
    <w:basedOn w:val="870"/>
    <w:next w:val="87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26">
    <w:name w:val="Caption Char"/>
    <w:basedOn w:val="725"/>
    <w:link w:val="723"/>
    <w:uiPriority w:val="99"/>
    <w:pPr>
      <w:pBdr/>
      <w:spacing/>
      <w:ind/>
    </w:pPr>
  </w:style>
  <w:style w:type="table" w:styleId="727">
    <w:name w:val="Table Grid Light"/>
    <w:basedOn w:val="87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87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87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debf6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5d6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e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2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8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debf6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5d6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e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2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8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8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8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febf6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67a4d8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8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5d6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8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8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e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8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2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472c4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8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8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b4d2eb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b4d2eb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5b9bd5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f6c3a1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f6c3a1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fee189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fee189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aabfe3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aabfe3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bedba8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bedba8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debf6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17bb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5d6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e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2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8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debf6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  <w:shd w:val="clear" w:color="ffffff"/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5d6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  <w:shd w:val="clear" w:color="ffffff"/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e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2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8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  <w:shd w:val="clear" w:color="ffffff"/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5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5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cf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cf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b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b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5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cf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b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5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cf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b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5b9bd5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5b9bd5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185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185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864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864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bdb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8eabdb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ad08f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ad08f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5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cf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9e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b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  <w:shd w:val="clear"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5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d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  <w:shd w:val="clear" w:color="ffffff"/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cf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  <w:shd w:val="clear" w:color="ffffff"/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b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  <w:shd w:val="clear" w:color="ffffff"/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7a4d8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1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864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7a4d8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1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864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8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8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2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53">
    <w:name w:val="footnote text"/>
    <w:basedOn w:val="870"/>
    <w:link w:val="854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54">
    <w:name w:val="Footnote Text Char"/>
    <w:link w:val="853"/>
    <w:uiPriority w:val="99"/>
    <w:pPr>
      <w:pBdr/>
      <w:spacing/>
      <w:ind/>
    </w:pPr>
    <w:rPr>
      <w:sz w:val="18"/>
    </w:rPr>
  </w:style>
  <w:style w:type="character" w:styleId="855">
    <w:name w:val="footnote reference"/>
    <w:basedOn w:val="871"/>
    <w:uiPriority w:val="99"/>
    <w:unhideWhenUsed/>
    <w:pPr>
      <w:pBdr/>
      <w:spacing/>
      <w:ind/>
    </w:pPr>
    <w:rPr>
      <w:vertAlign w:val="superscript"/>
    </w:rPr>
  </w:style>
  <w:style w:type="paragraph" w:styleId="856">
    <w:name w:val="endnote text"/>
    <w:basedOn w:val="870"/>
    <w:link w:val="857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57">
    <w:name w:val="Endnote Text Char"/>
    <w:link w:val="856"/>
    <w:uiPriority w:val="99"/>
    <w:pPr>
      <w:pBdr/>
      <w:spacing/>
      <w:ind/>
    </w:pPr>
    <w:rPr>
      <w:sz w:val="20"/>
    </w:rPr>
  </w:style>
  <w:style w:type="character" w:styleId="858">
    <w:name w:val="endnote reference"/>
    <w:basedOn w:val="871"/>
    <w:uiPriority w:val="99"/>
    <w:semiHidden/>
    <w:unhideWhenUsed/>
    <w:pPr>
      <w:pBdr/>
      <w:spacing/>
      <w:ind/>
    </w:pPr>
    <w:rPr>
      <w:vertAlign w:val="superscript"/>
    </w:rPr>
  </w:style>
  <w:style w:type="paragraph" w:styleId="859">
    <w:name w:val="toc 1"/>
    <w:basedOn w:val="870"/>
    <w:next w:val="870"/>
    <w:uiPriority w:val="39"/>
    <w:unhideWhenUsed/>
    <w:pPr>
      <w:pBdr/>
      <w:spacing w:after="57"/>
      <w:ind w:right="0" w:firstLine="0" w:left="0"/>
    </w:pPr>
  </w:style>
  <w:style w:type="paragraph" w:styleId="860">
    <w:name w:val="toc 2"/>
    <w:basedOn w:val="870"/>
    <w:next w:val="870"/>
    <w:uiPriority w:val="39"/>
    <w:unhideWhenUsed/>
    <w:pPr>
      <w:pBdr/>
      <w:spacing w:after="57"/>
      <w:ind w:right="0" w:firstLine="0" w:left="283"/>
    </w:pPr>
  </w:style>
  <w:style w:type="paragraph" w:styleId="861">
    <w:name w:val="toc 3"/>
    <w:basedOn w:val="870"/>
    <w:next w:val="870"/>
    <w:uiPriority w:val="39"/>
    <w:unhideWhenUsed/>
    <w:pPr>
      <w:pBdr/>
      <w:spacing w:after="57"/>
      <w:ind w:right="0" w:firstLine="0" w:left="567"/>
    </w:pPr>
  </w:style>
  <w:style w:type="paragraph" w:styleId="862">
    <w:name w:val="toc 4"/>
    <w:basedOn w:val="870"/>
    <w:next w:val="870"/>
    <w:uiPriority w:val="39"/>
    <w:unhideWhenUsed/>
    <w:pPr>
      <w:pBdr/>
      <w:spacing w:after="57"/>
      <w:ind w:right="0" w:firstLine="0" w:left="850"/>
    </w:pPr>
  </w:style>
  <w:style w:type="paragraph" w:styleId="863">
    <w:name w:val="toc 5"/>
    <w:basedOn w:val="870"/>
    <w:next w:val="870"/>
    <w:uiPriority w:val="39"/>
    <w:unhideWhenUsed/>
    <w:pPr>
      <w:pBdr/>
      <w:spacing w:after="57"/>
      <w:ind w:right="0" w:firstLine="0" w:left="1134"/>
    </w:pPr>
  </w:style>
  <w:style w:type="paragraph" w:styleId="864">
    <w:name w:val="toc 6"/>
    <w:basedOn w:val="870"/>
    <w:next w:val="870"/>
    <w:uiPriority w:val="39"/>
    <w:unhideWhenUsed/>
    <w:pPr>
      <w:pBdr/>
      <w:spacing w:after="57"/>
      <w:ind w:right="0" w:firstLine="0" w:left="1417"/>
    </w:pPr>
  </w:style>
  <w:style w:type="paragraph" w:styleId="865">
    <w:name w:val="toc 7"/>
    <w:basedOn w:val="870"/>
    <w:next w:val="870"/>
    <w:uiPriority w:val="39"/>
    <w:unhideWhenUsed/>
    <w:pPr>
      <w:pBdr/>
      <w:spacing w:after="57"/>
      <w:ind w:right="0" w:firstLine="0" w:left="1701"/>
    </w:pPr>
  </w:style>
  <w:style w:type="paragraph" w:styleId="866">
    <w:name w:val="toc 8"/>
    <w:basedOn w:val="870"/>
    <w:next w:val="870"/>
    <w:uiPriority w:val="39"/>
    <w:unhideWhenUsed/>
    <w:pPr>
      <w:pBdr/>
      <w:spacing w:after="57"/>
      <w:ind w:right="0" w:firstLine="0" w:left="1984"/>
    </w:pPr>
  </w:style>
  <w:style w:type="paragraph" w:styleId="867">
    <w:name w:val="toc 9"/>
    <w:basedOn w:val="870"/>
    <w:next w:val="870"/>
    <w:uiPriority w:val="39"/>
    <w:unhideWhenUsed/>
    <w:pPr>
      <w:pBdr/>
      <w:spacing w:after="57"/>
      <w:ind w:right="0" w:firstLine="0" w:left="2268"/>
    </w:pPr>
  </w:style>
  <w:style w:type="paragraph" w:styleId="868">
    <w:name w:val="TOC Heading"/>
    <w:uiPriority w:val="39"/>
    <w:unhideWhenUsed/>
    <w:pPr>
      <w:pBdr/>
      <w:spacing/>
      <w:ind/>
    </w:pPr>
  </w:style>
  <w:style w:type="paragraph" w:styleId="869">
    <w:name w:val="table of figures"/>
    <w:basedOn w:val="870"/>
    <w:next w:val="870"/>
    <w:uiPriority w:val="99"/>
    <w:unhideWhenUsed/>
    <w:pPr>
      <w:pBdr/>
      <w:spacing w:after="0" w:afterAutospacing="0"/>
      <w:ind/>
    </w:pPr>
  </w:style>
  <w:style w:type="paragraph" w:styleId="870" w:default="1">
    <w:name w:val="Normal"/>
    <w:qFormat/>
    <w:pPr>
      <w:pBdr/>
      <w:spacing/>
      <w:ind/>
    </w:pPr>
  </w:style>
  <w:style w:type="character" w:styleId="871" w:default="1">
    <w:name w:val="Default Paragraph Font"/>
    <w:uiPriority w:val="1"/>
    <w:unhideWhenUsed/>
    <w:pPr>
      <w:pBdr/>
      <w:spacing/>
      <w:ind/>
    </w:pPr>
  </w:style>
  <w:style w:type="table" w:styleId="87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3" w:default="1">
    <w:name w:val="No List"/>
    <w:uiPriority w:val="99"/>
    <w:semiHidden/>
    <w:unhideWhenUsed/>
    <w:pPr>
      <w:pBdr/>
      <w:spacing/>
      <w:ind/>
    </w:pPr>
  </w:style>
  <w:style w:type="paragraph" w:styleId="874">
    <w:name w:val="List Paragraph"/>
    <w:basedOn w:val="870"/>
    <w:uiPriority w:val="34"/>
    <w:qFormat/>
    <w:pPr>
      <w:pBdr/>
      <w:spacing/>
      <w:ind w:left="720"/>
      <w:contextualSpacing w:val="true"/>
    </w:pPr>
  </w:style>
  <w:style w:type="paragraph" w:styleId="875" w:customStyle="1">
    <w:name w:val="0МОЙ ТЕКСТ"/>
    <w:basedOn w:val="870"/>
    <w:link w:val="877"/>
    <w:qFormat/>
    <w:pPr>
      <w:widowControl w:val="false"/>
      <w:pBdr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876" w:customStyle="1">
    <w:name w:val="1ВЗС"/>
    <w:basedOn w:val="870"/>
    <w:next w:val="875"/>
    <w:link w:val="879"/>
    <w:qFormat/>
    <w:pPr>
      <w:pageBreakBefore w:val="true"/>
      <w:widowControl w:val="false"/>
      <w:pBdr/>
      <w:spacing w:after="0" w:line="360" w:lineRule="auto"/>
      <w:ind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character" w:styleId="877" w:customStyle="1">
    <w:name w:val="0МОЙ ТЕКСТ Знак"/>
    <w:basedOn w:val="871"/>
    <w:link w:val="875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paragraph" w:styleId="878" w:customStyle="1">
    <w:name w:val="2ГЛАВЫ"/>
    <w:basedOn w:val="870"/>
    <w:next w:val="875"/>
    <w:link w:val="881"/>
    <w:qFormat/>
    <w:pPr>
      <w:pageBreakBefore w:val="true"/>
      <w:widowControl w:val="false"/>
      <w:pBdr/>
      <w:spacing w:after="0" w:line="360" w:lineRule="auto"/>
      <w:ind w:firstLine="709"/>
      <w:jc w:val="both"/>
      <w:outlineLvl w:val="0"/>
    </w:pPr>
    <w:rPr>
      <w:rFonts w:ascii="Times New Roman" w:hAnsi="Times New Roman" w:cs="Times New Roman"/>
      <w:b/>
      <w:sz w:val="28"/>
      <w:szCs w:val="28"/>
    </w:rPr>
  </w:style>
  <w:style w:type="character" w:styleId="879" w:customStyle="1">
    <w:name w:val="1ВЗС Знак"/>
    <w:basedOn w:val="871"/>
    <w:link w:val="876"/>
    <w:pPr>
      <w:pBdr/>
      <w:spacing/>
      <w:ind/>
    </w:pPr>
    <w:rPr>
      <w:rFonts w:ascii="Times New Roman" w:hAnsi="Times New Roman" w:cs="Times New Roman"/>
      <w:b/>
      <w:sz w:val="28"/>
      <w:szCs w:val="28"/>
    </w:rPr>
  </w:style>
  <w:style w:type="paragraph" w:styleId="880" w:customStyle="1">
    <w:name w:val="0МАРК"/>
    <w:basedOn w:val="875"/>
    <w:link w:val="882"/>
    <w:qFormat/>
    <w:pPr>
      <w:numPr>
        <w:ilvl w:val="0"/>
        <w:numId w:val="3"/>
      </w:numPr>
      <w:pBdr/>
      <w:tabs>
        <w:tab w:val="left" w:leader="none" w:pos="998"/>
      </w:tabs>
      <w:spacing/>
      <w:ind w:firstLine="709" w:left="0"/>
    </w:pPr>
  </w:style>
  <w:style w:type="character" w:styleId="881" w:customStyle="1">
    <w:name w:val="2ГЛАВЫ Знак"/>
    <w:basedOn w:val="871"/>
    <w:link w:val="878"/>
    <w:pPr>
      <w:pBdr/>
      <w:spacing/>
      <w:ind/>
    </w:pPr>
    <w:rPr>
      <w:rFonts w:ascii="Times New Roman" w:hAnsi="Times New Roman" w:cs="Times New Roman"/>
      <w:b/>
      <w:sz w:val="28"/>
      <w:szCs w:val="28"/>
    </w:rPr>
  </w:style>
  <w:style w:type="character" w:styleId="882" w:customStyle="1">
    <w:name w:val="0МАРК Знак"/>
    <w:basedOn w:val="877"/>
    <w:link w:val="880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table" w:styleId="883">
    <w:name w:val="Table Grid"/>
    <w:basedOn w:val="8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AF793D-A7BE-4F6B-8EBE-BF98DF64F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ONLYOFFICE/7.5.1.23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Жукова Эвелина Алексеевна</dc:creator>
  <cp:keywords/>
  <dc:description/>
  <cp:revision>11</cp:revision>
  <dcterms:created xsi:type="dcterms:W3CDTF">2025-11-12T03:23:00Z</dcterms:created>
  <dcterms:modified xsi:type="dcterms:W3CDTF">2025-11-20T02:50:40Z</dcterms:modified>
</cp:coreProperties>
</file>