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образовательное бюджетное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«Финансовый университет при Правительстве Российской Федерации»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(Финансовый университет)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Благовещенский филиал Финуниверситета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Практическая работа по стандартизации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Тема «Стандартизация, сертификация и техническое документирование»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Студент группы: 218   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Логунов Максим Егорович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(фамилия, имя, отчество)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     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   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ab/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before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Специальность (код и наименование специальности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09.02.05 «Прикладная информатика (по отраслям)» базовой подготовки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(индекс и наименование специальности)</w: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Руководитель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работы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             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__________   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Вдовенко Никита Максимович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81280</wp:posOffset>
                </wp:positionV>
                <wp:extent cx="800100" cy="314325"/>
                <wp:effectExtent l="0" t="0" r="19050" b="28575"/>
                <wp:wrapSquare wrapText="bothSides"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(подпись)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197.95pt;mso-position-horizontal:absolute;mso-position-vertical-relative:text;margin-top:6.40pt;mso-position-vertical:absolute;width:63.00pt;height:24.75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(подпись)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3997665</wp:posOffset>
                </wp:positionH>
                <wp:positionV relativeFrom="paragraph">
                  <wp:posOffset>53340</wp:posOffset>
                </wp:positionV>
                <wp:extent cx="1869100" cy="266700"/>
                <wp:effectExtent l="4762" t="4762" r="4762" b="4762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098" cy="2666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(фамилия, имя, отчество)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314.78pt;mso-position-horizontal:absolute;mso-position-vertical-relative:text;margin-top:4.20pt;mso-position-vertical:absolute;width:147.17pt;height:21.0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(фамилия, имя, отчество)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             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Благовещенск</w:t>
      </w:r>
      <m:oMath>
        <m:r>
          <w:rPr>
            <w:rFonts w:ascii="Cambria Math" w:hAnsi="Cambria Math" w:cs="Times New Roman"/>
            <w:sz w:val="28"/>
            <w:szCs w:val="28"/>
          </w:rPr>
          <m:rPr/>
          <m:t>-</m:t>
        </m:r>
      </m:oMath>
      <w:r>
        <w:rPr>
          <w:rFonts w:ascii="Times New Roman" w:hAnsi="Times New Roman" w:cs="Times New Roman"/>
          <w:sz w:val="28"/>
          <w:szCs w:val="28"/>
        </w:rPr>
        <w:t xml:space="preserve">2025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pBdr/>
        <w:spacing/>
        <w:ind/>
        <w:jc w:val="center"/>
        <w:rPr/>
      </w:pPr>
      <w:r>
        <w:t xml:space="preserve">ЧАСТЬ 1. ТЕОРЕТИЧЕСКИЕ ВОПРОСЫ</w:t>
      </w:r>
      <w:r/>
    </w:p>
    <w:p>
      <w:pPr>
        <w:pStyle w:val="965"/>
        <w:pBdr/>
        <w:spacing/>
        <w:ind w:firstLine="0"/>
        <w:outlineLvl w:val="1"/>
        <w:rPr/>
      </w:pPr>
      <w:r>
        <w:t xml:space="preserve">1.1 Метрология</w:t>
      </w:r>
      <w:r/>
    </w:p>
    <w:p>
      <w:pPr>
        <w:pStyle w:val="965"/>
        <w:pBdr/>
        <w:spacing/>
        <w:ind w:firstLine="0"/>
        <w:rPr/>
      </w:pPr>
      <w:r>
        <w:t xml:space="preserve">Метрология — наука об измерениях, методах и средствах обеспечения их единства и способах достижения требуемой точности. Её задачи связаны с разработкой и применением методов и средств измерений, а также с обеспечением точности, надёжности и единообразия из</w:t>
      </w:r>
      <w:r>
        <w:t xml:space="preserve">мерений.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Метрология состоит из трёх основных разделов:</w:t>
      </w:r>
      <w:r/>
    </w:p>
    <w:p>
      <w:pPr>
        <w:pStyle w:val="965"/>
        <w:numPr>
          <w:ilvl w:val="0"/>
          <w:numId w:val="2"/>
        </w:numPr>
        <w:pBdr/>
        <w:spacing/>
        <w:ind/>
        <w:rPr/>
      </w:pPr>
      <w:r>
        <w:t xml:space="preserve">Теоретическая (фундаментальная) — разрабатывает фундаментальные основы метрологии, изучает проблемы измерения физических величин, их единиц, методов измерений. </w:t>
      </w:r>
      <w:r/>
    </w:p>
    <w:p>
      <w:pPr>
        <w:pStyle w:val="965"/>
        <w:numPr>
          <w:ilvl w:val="0"/>
          <w:numId w:val="2"/>
        </w:numPr>
        <w:pBdr/>
        <w:spacing/>
        <w:ind/>
        <w:rPr/>
      </w:pPr>
      <w:r>
        <w:t xml:space="preserve">Прикладная — изучает вопросы практическо</w:t>
      </w:r>
      <w:r>
        <w:t xml:space="preserve">го применения разработок теоретической метрологии, в её ведении — все вопросы метрологического обеспечения. </w:t>
      </w:r>
      <w:r/>
    </w:p>
    <w:p>
      <w:pPr>
        <w:pStyle w:val="965"/>
        <w:numPr>
          <w:ilvl w:val="0"/>
          <w:numId w:val="2"/>
        </w:numPr>
        <w:pBdr/>
        <w:spacing/>
        <w:ind/>
        <w:rPr/>
      </w:pPr>
      <w:r>
        <w:t xml:space="preserve">Законодательная — устанавливает обязательные технические и юридические требования по применению единиц физической величины, методов и средств измер</w:t>
      </w:r>
      <w:r>
        <w:t xml:space="preserve">ений.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Задачи</w:t>
      </w:r>
      <w:r/>
    </w:p>
    <w:p>
      <w:pPr>
        <w:pStyle w:val="965"/>
        <w:numPr>
          <w:ilvl w:val="0"/>
          <w:numId w:val="3"/>
        </w:numPr>
        <w:pBdr/>
        <w:spacing/>
        <w:ind/>
        <w:rPr/>
      </w:pPr>
      <w:r>
        <w:t xml:space="preserve">Стандартизация — разработка и утверждение стандартов измерений, которые определяют базовые единицы измерений, методы и средства измерений, а также требования к точности и надёжности измерений.</w:t>
      </w:r>
      <w:r/>
    </w:p>
    <w:p>
      <w:pPr>
        <w:pStyle w:val="965"/>
        <w:numPr>
          <w:ilvl w:val="0"/>
          <w:numId w:val="3"/>
        </w:numPr>
        <w:pBdr/>
        <w:spacing/>
        <w:ind/>
        <w:rPr/>
      </w:pPr>
      <w:r>
        <w:t xml:space="preserve">Обеспечение качества — в производственных отраслях</w:t>
      </w:r>
      <w:r>
        <w:t xml:space="preserve"> метрология обеспечивает контроль и качество продукции, точные измерения позволяют убедиться в соответствии продукции установленным требованиям и стандартам.</w:t>
      </w:r>
      <w:r/>
    </w:p>
    <w:p>
      <w:pPr>
        <w:pStyle w:val="965"/>
        <w:numPr>
          <w:ilvl w:val="0"/>
          <w:numId w:val="3"/>
        </w:numPr>
        <w:pBdr/>
        <w:spacing/>
        <w:ind/>
        <w:rPr/>
      </w:pPr>
      <w:r>
        <w:t xml:space="preserve">Научные исследования — в науке точные измерения необходимы для получения достоверных результатов, это касается таких областей, как физика, химия, биология, медицина и другие.</w:t>
      </w:r>
      <w:r/>
    </w:p>
    <w:p>
      <w:pPr>
        <w:pStyle w:val="965"/>
        <w:numPr>
          <w:ilvl w:val="0"/>
          <w:numId w:val="3"/>
        </w:numPr>
        <w:pBdr/>
        <w:spacing/>
        <w:ind/>
        <w:rPr/>
      </w:pPr>
      <w:r>
        <w:t xml:space="preserve">Технический прогресс — метрология разрабатывает новые методы и средства измерения</w:t>
      </w:r>
      <w:r>
        <w:t xml:space="preserve">, а также повышает точность и надёжность существующих измерительных технологий.</w:t>
      </w:r>
      <w:r/>
    </w:p>
    <w:p>
      <w:pPr>
        <w:pStyle w:val="965"/>
        <w:pBdr/>
        <w:spacing/>
        <w:ind w:firstLine="0"/>
        <w:jc w:val="center"/>
        <w:rPr>
          <w:b/>
          <w:bCs/>
        </w:rPr>
      </w:pPr>
      <w:r>
        <w:rPr>
          <w:b/>
          <w:bCs/>
        </w:rPr>
        <w:t xml:space="preserve">Виды измерений</w:t>
      </w:r>
      <w:r>
        <w:rPr>
          <w:b/>
          <w:bCs/>
        </w:rPr>
      </w:r>
    </w:p>
    <w:p>
      <w:pPr>
        <w:pStyle w:val="965"/>
        <w:numPr>
          <w:ilvl w:val="0"/>
          <w:numId w:val="4"/>
        </w:numPr>
        <w:pBdr/>
        <w:spacing/>
        <w:ind/>
        <w:rPr/>
      </w:pPr>
      <w:r>
        <w:t xml:space="preserve">Прямые. Искомое значение физической величины находят непосредственно из опытных данных. Примеры: измерения длины тела линейкой, массы при помощи весов.</w:t>
      </w:r>
      <w:r/>
    </w:p>
    <w:p>
      <w:pPr>
        <w:pStyle w:val="965"/>
        <w:numPr>
          <w:ilvl w:val="0"/>
          <w:numId w:val="4"/>
        </w:numPr>
        <w:pBdr/>
        <w:spacing/>
        <w:ind/>
        <w:rPr/>
      </w:pPr>
      <w:r>
        <w:t xml:space="preserve">Косвенные</w:t>
      </w:r>
      <w:r>
        <w:t xml:space="preserve">. Искомую величину определяют на основании известной зависимости между этой величиной и величинами, подвергаемыми прямым измерениям. Примеры: определение объёма тела по прямым измерениям его геометрических размеров, нахождение удельного электрического сопр</w:t>
      </w:r>
      <w:r>
        <w:t xml:space="preserve">отивления проводника по его сопротивлению, длине и площади поперечного сечения.</w:t>
      </w:r>
      <w:r/>
    </w:p>
    <w:p>
      <w:pPr>
        <w:pStyle w:val="965"/>
        <w:numPr>
          <w:ilvl w:val="0"/>
          <w:numId w:val="4"/>
        </w:numPr>
        <w:pBdr/>
        <w:spacing/>
        <w:ind/>
        <w:rPr/>
      </w:pPr>
      <w:r>
        <w:t xml:space="preserve">Совокупные. Это производимые одновременно измерения нескольких одноимённых величин, при которых искомую определяют решением системы уравнений, получаемых при прямых измерениях </w:t>
      </w:r>
      <w:r>
        <w:t xml:space="preserve">различных сочетаний этих величин. Пример: определение массы отдельных гирь набора (калибровка по известной массе одной из них и по результатам прямых сравнений масс различных сочетаний гирь).</w:t>
      </w:r>
      <w:r/>
    </w:p>
    <w:p>
      <w:pPr>
        <w:pStyle w:val="965"/>
        <w:numPr>
          <w:ilvl w:val="0"/>
          <w:numId w:val="4"/>
        </w:numPr>
        <w:pBdr/>
        <w:spacing/>
        <w:ind/>
        <w:rPr/>
      </w:pPr>
      <w:r>
        <w:t xml:space="preserve">Совместные. Это производимые одновременно измерения двух или нес</w:t>
      </w:r>
      <w:r>
        <w:t xml:space="preserve">кольких неодноименных величин для нахождения зависимостей между ними. Пример: измерение электрического сопротивления при 20 °С и температурных коэффициентов измерительного резистора по данным прямых измерений его сопротивления при различных температурах.</w:t>
      </w:r>
      <w:r/>
    </w:p>
    <w:p>
      <w:pPr>
        <w:pStyle w:val="965"/>
        <w:pBdr/>
        <w:spacing/>
        <w:ind w:firstLine="0"/>
        <w:jc w:val="center"/>
        <w:rPr>
          <w:b/>
          <w:bCs/>
        </w:rPr>
      </w:pPr>
      <w:r>
        <w:rPr>
          <w:b/>
          <w:bCs/>
        </w:rPr>
        <w:t xml:space="preserve">П</w:t>
      </w:r>
      <w:r>
        <w:rPr>
          <w:b/>
          <w:bCs/>
        </w:rPr>
        <w:t xml:space="preserve">огрешность измерения и её виды</w:t>
      </w:r>
      <w:r>
        <w:rPr>
          <w:b/>
          <w:bCs/>
        </w:rPr>
      </w:r>
    </w:p>
    <w:p>
      <w:pPr>
        <w:pStyle w:val="965"/>
        <w:pBdr/>
        <w:spacing/>
        <w:ind w:firstLine="0"/>
        <w:rPr/>
      </w:pPr>
      <w:r>
        <w:t xml:space="preserve">Погрешность измерения — отклонение измеренного значения величины от её истинного (действительного) значения. Так как истинное значение измеряемой величины неизвестно, при количественной оценке погрешности пользуются действите</w:t>
      </w:r>
      <w:r>
        <w:t xml:space="preserve">льным значением физической величины. 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Виды</w:t>
      </w:r>
      <w:r/>
    </w:p>
    <w:p>
      <w:pPr>
        <w:pStyle w:val="965"/>
        <w:pBdr/>
        <w:spacing/>
        <w:ind w:firstLine="0"/>
        <w:rPr/>
      </w:pPr>
      <w:r>
        <w:t xml:space="preserve">По способу выражения:</w:t>
      </w:r>
      <w:r/>
    </w:p>
    <w:p>
      <w:pPr>
        <w:pStyle w:val="965"/>
        <w:numPr>
          <w:ilvl w:val="0"/>
          <w:numId w:val="5"/>
        </w:numPr>
        <w:pBdr/>
        <w:spacing/>
        <w:ind/>
        <w:rPr/>
      </w:pPr>
      <w:r>
        <w:t xml:space="preserve">Абсолютная — разница между измеренным значением величины и её реальным значением, выраженная в единицах измерения этой величины. </w:t>
      </w:r>
      <w:r/>
    </w:p>
    <w:p>
      <w:pPr>
        <w:pStyle w:val="965"/>
        <w:numPr>
          <w:ilvl w:val="0"/>
          <w:numId w:val="5"/>
        </w:numPr>
        <w:pBdr/>
        <w:spacing/>
        <w:ind/>
        <w:rPr/>
      </w:pPr>
      <w:r>
        <w:t xml:space="preserve">Относительная — отношение абсолютной погрешности к истинному </w:t>
      </w:r>
      <w:r>
        <w:t xml:space="preserve">либо номинальному значению, выражается в долях или процентах. </w:t>
      </w:r>
      <w:r/>
    </w:p>
    <w:p>
      <w:pPr>
        <w:pStyle w:val="965"/>
        <w:numPr>
          <w:ilvl w:val="0"/>
          <w:numId w:val="5"/>
        </w:numPr>
        <w:pBdr/>
        <w:spacing/>
        <w:ind/>
        <w:rPr/>
      </w:pPr>
      <w:r>
        <w:t xml:space="preserve">Приведённая — относительная погрешность, в которой абсолютная погрешность средства измерения отнесена к условно принятому нормирующему значению, постоянному во всём диапазоне измерений или его </w:t>
      </w:r>
      <w:r>
        <w:t xml:space="preserve">части. </w:t>
      </w:r>
      <w:r/>
    </w:p>
    <w:p>
      <w:pPr>
        <w:pStyle w:val="965"/>
        <w:pBdr/>
        <w:spacing/>
        <w:ind w:firstLine="0"/>
        <w:rPr/>
      </w:pPr>
      <w:r>
        <w:t xml:space="preserve">По характеру проявления:</w:t>
      </w:r>
      <w:r/>
    </w:p>
    <w:p>
      <w:pPr>
        <w:pStyle w:val="965"/>
        <w:numPr>
          <w:ilvl w:val="0"/>
          <w:numId w:val="6"/>
        </w:numPr>
        <w:pBdr/>
        <w:spacing/>
        <w:ind/>
        <w:rPr/>
      </w:pPr>
      <w:r>
        <w:t xml:space="preserve">Систематические — имеют устойчивое значение и направление на протяжении всей серии измерений, связаны с точностью приборов и качеством применяемых методик. </w:t>
      </w:r>
      <w:r/>
    </w:p>
    <w:p>
      <w:pPr>
        <w:pStyle w:val="965"/>
        <w:numPr>
          <w:ilvl w:val="0"/>
          <w:numId w:val="6"/>
        </w:numPr>
        <w:pBdr/>
        <w:spacing/>
        <w:ind/>
        <w:rPr/>
      </w:pPr>
      <w:r>
        <w:t xml:space="preserve">Случайные — изменяются случайным образом при повторных измерениях </w:t>
      </w:r>
      <w:r>
        <w:t xml:space="preserve">одной и той же величины, проявляются как разброс результатов вокруг некоторого среднего значения. </w:t>
      </w:r>
      <w:r/>
    </w:p>
    <w:p>
      <w:pPr>
        <w:pStyle w:val="965"/>
        <w:numPr>
          <w:ilvl w:val="0"/>
          <w:numId w:val="6"/>
        </w:numPr>
        <w:pBdr/>
        <w:spacing/>
        <w:ind/>
        <w:rPr/>
      </w:pPr>
      <w:r>
        <w:t xml:space="preserve">Грубые (промахи) — существенно превышают ожидаемую при данных условиях погрешность, связаны с ошибками оператора, неверным считыванием показаний, неправильны</w:t>
      </w:r>
      <w:r>
        <w:t xml:space="preserve">м подключением приборов, ошибками записи и обработки данных.</w:t>
      </w:r>
      <w:r/>
    </w:p>
    <w:p>
      <w:pPr>
        <w:pStyle w:val="965"/>
        <w:pBdr/>
        <w:spacing/>
        <w:ind w:firstLine="0" w:left="709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  <w:color w:val="1f2328"/>
        </w:rPr>
        <w:t xml:space="preserve">С</w:t>
      </w:r>
      <w:r>
        <w:rPr>
          <w:rFonts w:eastAsia="Times New Roman"/>
          <w:b/>
          <w:bCs/>
          <w:color w:val="1f2328"/>
          <w:highlight w:val="white"/>
        </w:rPr>
        <w:t xml:space="preserve">редства измерений и их классификаци</w:t>
      </w:r>
      <w:r>
        <w:rPr>
          <w:rFonts w:eastAsia="Times New Roman"/>
          <w:b/>
          <w:bCs/>
          <w:color w:val="1f2328"/>
        </w:rPr>
        <w:t xml:space="preserve">я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52"/>
        </w:numPr>
        <w:pBdr/>
        <w:spacing/>
        <w:ind/>
        <w:rPr/>
      </w:pPr>
      <w:r>
        <w:rPr>
          <w:rFonts w:eastAsia="Times New Roman"/>
        </w:rPr>
        <w:t xml:space="preserve">Мера физической величины. Средство измерений, предназначенное для воспроизведения и (или) хранения физической величины одного или нескольких заданных размеров, значения которых выражены в установленных единицах и известны с необходимой точностью.</w:t>
      </w:r>
      <w:r/>
    </w:p>
    <w:p>
      <w:pPr>
        <w:pStyle w:val="965"/>
        <w:numPr>
          <w:ilvl w:val="0"/>
          <w:numId w:val="52"/>
        </w:numPr>
        <w:pBdr/>
        <w:spacing/>
        <w:ind/>
        <w:rPr/>
      </w:pPr>
      <w:r>
        <w:rPr>
          <w:rFonts w:eastAsia="Times New Roman"/>
        </w:rPr>
        <w:t xml:space="preserve">Измерител</w:t>
      </w:r>
      <w:r>
        <w:rPr>
          <w:rFonts w:eastAsia="Times New Roman"/>
        </w:rPr>
        <w:t xml:space="preserve">ьный прибор. Средство измерений, предназначенное для получения значений измеряемой физической величины в установленном диапазоне.</w:t>
      </w:r>
      <w:r/>
    </w:p>
    <w:p>
      <w:pPr>
        <w:pStyle w:val="965"/>
        <w:numPr>
          <w:ilvl w:val="0"/>
          <w:numId w:val="52"/>
        </w:numPr>
        <w:pBdr/>
        <w:spacing/>
        <w:ind/>
        <w:rPr/>
      </w:pPr>
      <w:r>
        <w:rPr>
          <w:rFonts w:eastAsia="Times New Roman"/>
        </w:rPr>
        <w:t xml:space="preserve">Измерительный преобразователь. Техническое средство с нормируемыми метрологическими характеристиками, служащее для преобразования измеряемой величины в другую величину или измерительный сигнал, удобный для обработки, хранения, </w:t>
      </w:r>
      <w:r>
        <w:rPr>
          <w:rFonts w:eastAsia="Times New Roman"/>
        </w:rPr>
        <w:t xml:space="preserve">дальнейших преобразований, ин</w:t>
      </w:r>
      <w:r>
        <w:rPr>
          <w:rFonts w:eastAsia="Times New Roman"/>
        </w:rPr>
        <w:t xml:space="preserve">дикации или передачи.</w:t>
      </w:r>
      <w:r/>
    </w:p>
    <w:p>
      <w:pPr>
        <w:pStyle w:val="965"/>
        <w:numPr>
          <w:ilvl w:val="0"/>
          <w:numId w:val="52"/>
        </w:numPr>
        <w:pBdr/>
        <w:spacing/>
        <w:ind/>
        <w:rPr/>
      </w:pPr>
      <w:r>
        <w:rPr>
          <w:rFonts w:eastAsia="Times New Roman"/>
        </w:rPr>
        <w:t xml:space="preserve">Измерительная установка (измерительная машина). Совокупность функционально объединённых мер, измерительных приборов, измерительных преобразователей и других устройств, предназначенная для измерений одной или нескольких физических вели</w:t>
      </w:r>
      <w:r>
        <w:rPr>
          <w:rFonts w:eastAsia="Times New Roman"/>
        </w:rPr>
        <w:t xml:space="preserve">чин и расположенная в одном месте.</w:t>
      </w:r>
      <w:r/>
    </w:p>
    <w:p>
      <w:pPr>
        <w:pStyle w:val="965"/>
        <w:numPr>
          <w:ilvl w:val="0"/>
          <w:numId w:val="52"/>
        </w:numPr>
        <w:pBdr/>
        <w:spacing/>
        <w:ind/>
        <w:rPr/>
      </w:pPr>
      <w:r>
        <w:rPr>
          <w:rFonts w:eastAsia="Times New Roman"/>
        </w:rPr>
        <w:t xml:space="preserve">Измерительная система. Совокупность функционально объединённых мер, измерительных приборов, измерительных преобразователей, ЭВМ и других технических средств, размещённых в разных точках контролируемого объекта и т. п. с ц</w:t>
      </w:r>
      <w:r>
        <w:rPr>
          <w:rFonts w:eastAsia="Times New Roman"/>
        </w:rPr>
        <w:t xml:space="preserve">елью измерений одной или нескольких физических величин, свойственных этому объекту, и выработки измерительных сигналов в разных целях.</w:t>
      </w:r>
      <w:r/>
    </w:p>
    <w:p>
      <w:pPr>
        <w:pStyle w:val="965"/>
        <w:numPr>
          <w:ilvl w:val="0"/>
          <w:numId w:val="52"/>
        </w:numPr>
        <w:pBdr/>
        <w:spacing/>
        <w:ind/>
        <w:rPr/>
      </w:pPr>
      <w:r>
        <w:rPr>
          <w:rFonts w:eastAsia="Times New Roman"/>
        </w:rPr>
        <w:t xml:space="preserve">Измерительно-вычислительный комплекс. Функционально объединённая совокупность средств измерений, ЭВМ и вспомогательных ус</w:t>
      </w:r>
      <w:r>
        <w:rPr>
          <w:rFonts w:eastAsia="Times New Roman"/>
        </w:rPr>
        <w:t xml:space="preserve">тройств, предназначенная для выполнения в составе измерительной системы конкретной измерительной задачи.</w:t>
      </w:r>
      <w:r/>
    </w:p>
    <w:p>
      <w:pPr>
        <w:pStyle w:val="965"/>
        <w:pBdr/>
        <w:spacing/>
        <w:ind w:firstLine="0"/>
        <w:jc w:val="center"/>
        <w:rPr>
          <w:b/>
        </w:rPr>
      </w:pPr>
      <w:r>
        <w:rPr>
          <w:b/>
        </w:rPr>
        <w:t xml:space="preserve">Проверка и калибровка средств измерений</w:t>
      </w:r>
      <w:r>
        <w:rPr>
          <w:b/>
        </w:rPr>
      </w:r>
    </w:p>
    <w:p>
      <w:pPr>
        <w:pStyle w:val="965"/>
        <w:pBdr/>
        <w:spacing/>
        <w:ind/>
        <w:rPr/>
      </w:pPr>
      <w:r>
        <w:rPr>
          <w:rFonts w:eastAsia="Times New Roman"/>
        </w:rPr>
        <w:t xml:space="preserve">Поверка и калибровка средств измерений (СИ) — это процедуры, направленные на определение точности и пригодности </w:t>
      </w:r>
      <w:r>
        <w:rPr>
          <w:rFonts w:eastAsia="Times New Roman"/>
        </w:rPr>
        <w:t xml:space="preserve">приборов, но имеют разные цели.</w:t>
      </w:r>
      <w:r/>
    </w:p>
    <w:p>
      <w:pPr>
        <w:pStyle w:val="965"/>
        <w:pBdr/>
        <w:spacing/>
        <w:ind/>
        <w:rPr/>
      </w:pPr>
      <w:r>
        <w:t xml:space="preserve">Проверка</w:t>
      </w:r>
      <w:r/>
    </w:p>
    <w:p>
      <w:pPr>
        <w:pStyle w:val="965"/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Цель — подтвердить, соответствует ли измерительное устройство установленным метрологическим требованиям, и можно ли его использовать. </w:t>
      </w:r>
      <w:r>
        <w:rPr>
          <w:rFonts w:eastAsia="Times New Roman"/>
        </w:rPr>
      </w:r>
    </w:p>
    <w:p>
      <w:pPr>
        <w:pStyle w:val="965"/>
        <w:pBdr/>
        <w:spacing/>
        <w:ind/>
        <w:rPr/>
      </w:pPr>
      <w:r>
        <w:rPr>
          <w:rFonts w:eastAsia="Times New Roman"/>
        </w:rPr>
        <w:t xml:space="preserve">Особенности</w:t>
      </w:r>
      <w:r>
        <w:rPr>
          <w:rFonts w:eastAsia="Times New Roman"/>
          <w:lang w:val="en-US"/>
        </w:rPr>
        <w:t xml:space="preserve">:</w:t>
      </w:r>
      <w:r/>
    </w:p>
    <w:p>
      <w:pPr>
        <w:pStyle w:val="965"/>
        <w:numPr>
          <w:ilvl w:val="0"/>
          <w:numId w:val="53"/>
        </w:numPr>
        <w:pBdr/>
        <w:spacing/>
        <w:ind/>
        <w:rPr/>
      </w:pPr>
      <w:r>
        <w:rPr>
          <w:rFonts w:eastAsia="Times New Roman"/>
        </w:rPr>
        <w:t xml:space="preserve">Обязательна для приборов, используемых в сферах государственного ре</w:t>
      </w:r>
      <w:r>
        <w:rPr>
          <w:rFonts w:eastAsia="Times New Roman"/>
        </w:rPr>
        <w:t xml:space="preserve">гулирования (например, влияющих на безопасность, здоровье людей или финансы).</w:t>
      </w:r>
      <w:r/>
    </w:p>
    <w:p>
      <w:pPr>
        <w:pStyle w:val="965"/>
        <w:numPr>
          <w:ilvl w:val="0"/>
          <w:numId w:val="53"/>
        </w:numPr>
        <w:pBdr/>
        <w:spacing/>
        <w:ind/>
        <w:rPr/>
      </w:pPr>
      <w:r>
        <w:rPr>
          <w:rFonts w:eastAsia="Times New Roman"/>
        </w:rPr>
        <w:t xml:space="preserve">Проходит строго по методике, разработанной для конкретного прибора.</w:t>
      </w:r>
      <w:r/>
    </w:p>
    <w:p>
      <w:pPr>
        <w:pStyle w:val="965"/>
        <w:numPr>
          <w:ilvl w:val="0"/>
          <w:numId w:val="53"/>
        </w:numPr>
        <w:pBdr/>
        <w:spacing/>
        <w:ind/>
        <w:rPr/>
      </w:pPr>
      <w:r>
        <w:rPr>
          <w:rFonts w:eastAsia="Times New Roman"/>
        </w:rPr>
        <w:t xml:space="preserve">По итогам поверки принимается одно из двух решений: средство измерений соответствует нормативам и пригодно к и</w:t>
      </w:r>
      <w:r>
        <w:rPr>
          <w:rFonts w:eastAsia="Times New Roman"/>
        </w:rPr>
        <w:t xml:space="preserve">спользованию или прибор признан непригодным.</w:t>
      </w:r>
      <w:r/>
    </w:p>
    <w:p>
      <w:pPr>
        <w:pStyle w:val="965"/>
        <w:numPr>
          <w:ilvl w:val="0"/>
          <w:numId w:val="53"/>
        </w:numPr>
        <w:pBdr/>
        <w:spacing/>
        <w:ind/>
        <w:rPr/>
      </w:pPr>
      <w:r>
        <w:rPr>
          <w:rFonts w:eastAsia="Times New Roman"/>
        </w:rPr>
        <w:t xml:space="preserve">Если результат положительный, данные вносятся в государственный реестр, прибор считается поверенным и может применяться до следующей поверки. Если прибор не прошёл проверку, его использование запрещается.</w:t>
      </w:r>
      <w:r/>
    </w:p>
    <w:p>
      <w:pPr>
        <w:pStyle w:val="965"/>
        <w:pBdr/>
        <w:spacing/>
        <w:ind w:firstLine="0" w:left="1417"/>
        <w:rPr/>
      </w:pPr>
      <w:r>
        <w:rPr>
          <w:rFonts w:eastAsia="Times New Roman"/>
        </w:rPr>
        <w:t xml:space="preserve">Калибр</w:t>
      </w:r>
      <w:r>
        <w:rPr>
          <w:rFonts w:eastAsia="Times New Roman"/>
        </w:rPr>
        <w:t xml:space="preserve">овка</w:t>
      </w:r>
      <w:r/>
    </w:p>
    <w:p>
      <w:pPr>
        <w:pStyle w:val="965"/>
        <w:pBdr/>
        <w:spacing/>
        <w:ind/>
        <w:rPr/>
      </w:pPr>
      <w:r>
        <w:rPr>
          <w:rFonts w:eastAsia="Times New Roman"/>
        </w:rPr>
        <w:t xml:space="preserve">Цель — установить фактические значения метрологических характеристик прибора. </w:t>
      </w:r>
      <w:r/>
    </w:p>
    <w:p>
      <w:pPr>
        <w:pStyle w:val="965"/>
        <w:pBdr/>
        <w:spacing/>
        <w:ind w:firstLine="0" w:left="1417"/>
        <w:rPr/>
      </w:pPr>
      <w:r>
        <w:rPr>
          <w:rFonts w:eastAsia="Times New Roman"/>
        </w:rPr>
        <w:t xml:space="preserve">Особенности:</w:t>
      </w:r>
      <w:r/>
    </w:p>
    <w:p>
      <w:pPr>
        <w:pStyle w:val="965"/>
        <w:numPr>
          <w:ilvl w:val="0"/>
          <w:numId w:val="54"/>
        </w:numPr>
        <w:pBdr/>
        <w:spacing/>
        <w:ind/>
        <w:rPr/>
      </w:pPr>
      <w:r>
        <w:rPr>
          <w:rFonts w:eastAsia="Times New Roman"/>
        </w:rPr>
        <w:t xml:space="preserve">Не обязательна, чаще проводится по инициативе заказчика.</w:t>
      </w:r>
      <w:r/>
    </w:p>
    <w:p>
      <w:pPr>
        <w:pStyle w:val="965"/>
        <w:numPr>
          <w:ilvl w:val="0"/>
          <w:numId w:val="54"/>
        </w:numPr>
        <w:pBdr/>
        <w:spacing/>
        <w:ind/>
        <w:rPr/>
      </w:pPr>
      <w:r>
        <w:rPr>
          <w:rFonts w:eastAsia="Times New Roman"/>
        </w:rPr>
        <w:t xml:space="preserve">Проводится для приборов, которые не используются в сфере госрегулирования единства измерений.</w:t>
      </w:r>
      <w:r/>
    </w:p>
    <w:p>
      <w:pPr>
        <w:pStyle w:val="965"/>
        <w:numPr>
          <w:ilvl w:val="0"/>
          <w:numId w:val="54"/>
        </w:numPr>
        <w:pBdr/>
        <w:spacing/>
        <w:ind/>
        <w:rPr/>
      </w:pPr>
      <w:r>
        <w:rPr>
          <w:rFonts w:eastAsia="Times New Roman"/>
        </w:rPr>
        <w:t xml:space="preserve">Помогает</w:t>
      </w:r>
      <w:r>
        <w:rPr>
          <w:rFonts w:eastAsia="Times New Roman"/>
        </w:rPr>
        <w:t xml:space="preserve"> оценить возможности прибора, но не накладывает обязательств на его использование.</w:t>
      </w:r>
      <w:r/>
    </w:p>
    <w:p>
      <w:pPr>
        <w:pStyle w:val="965"/>
        <w:numPr>
          <w:ilvl w:val="0"/>
          <w:numId w:val="54"/>
        </w:numPr>
        <w:pBdr/>
        <w:spacing/>
        <w:ind/>
        <w:rPr/>
      </w:pPr>
      <w:r>
        <w:rPr>
          <w:rFonts w:eastAsia="Times New Roman"/>
        </w:rPr>
        <w:t xml:space="preserve">Калибровка выполняется по методикам, которые могут быть предоставлены заказчиком, разработаны самой организацией, проводящей процедуру, заимствованы из международных, национ</w:t>
      </w:r>
      <w:r>
        <w:rPr>
          <w:rFonts w:eastAsia="Times New Roman"/>
        </w:rPr>
        <w:t xml:space="preserve">альных или отраслевых стандартов.</w:t>
      </w:r>
      <w:r/>
    </w:p>
    <w:p>
      <w:pPr>
        <w:pStyle w:val="965"/>
        <w:numPr>
          <w:ilvl w:val="0"/>
          <w:numId w:val="54"/>
        </w:numPr>
        <w:pBdr/>
        <w:spacing/>
        <w:ind/>
        <w:rPr/>
      </w:pPr>
      <w:r>
        <w:rPr>
          <w:rFonts w:eastAsia="Times New Roman"/>
        </w:rPr>
        <w:t xml:space="preserve">Итоговый документ — сертификат калибровки, в котором фиксируются результаты. Иногда к нему прилагается отдельный протокол с указанием конкретных значений характеристик, но эти данные могут содержаться и в самом сертификате</w:t>
      </w:r>
      <w:r>
        <w:rPr>
          <w:rFonts w:eastAsia="Times New Roman"/>
        </w:rPr>
        <w:t xml:space="preserve">.</w:t>
      </w:r>
      <w:r/>
    </w:p>
    <w:p>
      <w:pPr>
        <w:pStyle w:val="965"/>
        <w:pBdr/>
        <w:spacing/>
        <w:ind w:firstLine="0"/>
        <w:jc w:val="left"/>
        <w:outlineLvl w:val="1"/>
        <w:rPr/>
      </w:pPr>
      <w:r>
        <w:t xml:space="preserve">1.2 Системы управления качеством</w:t>
      </w:r>
      <w:r/>
    </w:p>
    <w:p>
      <w:pPr>
        <w:pStyle w:val="965"/>
        <w:pBdr/>
        <w:spacing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  <w:color w:val="1f2328"/>
        </w:rPr>
        <w:t xml:space="preserve">С</w:t>
      </w:r>
      <w:r>
        <w:rPr>
          <w:rFonts w:eastAsia="Times New Roman"/>
          <w:b/>
          <w:bCs/>
          <w:color w:val="1f2328"/>
          <w:highlight w:val="white"/>
        </w:rPr>
        <w:t xml:space="preserve">истема менеджмента качества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7"/>
        </w:numPr>
        <w:pBdr/>
        <w:spacing/>
        <w:ind/>
        <w:rPr/>
      </w:pPr>
      <w:r>
        <w:rPr>
          <w:rFonts w:eastAsia="Times New Roman"/>
        </w:rPr>
        <w:t xml:space="preserve">Система менеджмента качества (СМК) — это подход к управлению организацией, который помогает постоянно совершенствовать качество товаров, услуг и управления предприятием. В СМК входят разработка корпоративной политики, методики работы и инструкций, а также </w:t>
      </w:r>
      <w:r>
        <w:rPr>
          <w:rFonts w:eastAsia="Times New Roman"/>
        </w:rPr>
        <w:t xml:space="preserve">организация контроля за бизнес-процессами и ресурсами.</w:t>
      </w:r>
      <w:r/>
    </w:p>
    <w:p>
      <w:pPr>
        <w:pStyle w:val="965"/>
        <w:pBdr/>
        <w:spacing/>
        <w:ind w:firstLine="0" w:left="709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  <w:color w:val="1f2328"/>
        </w:rPr>
        <w:t xml:space="preserve">П</w:t>
      </w:r>
      <w:r>
        <w:rPr>
          <w:rFonts w:eastAsia="Times New Roman"/>
          <w:b/>
          <w:bCs/>
          <w:color w:val="1f2328"/>
          <w:highlight w:val="white"/>
        </w:rPr>
        <w:t xml:space="preserve">ринципы в основе стандарта ISO 9001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55"/>
        </w:numPr>
        <w:pBdr/>
        <w:spacing/>
        <w:ind/>
        <w:rPr/>
      </w:pPr>
      <w:r>
        <w:rPr>
          <w:rFonts w:eastAsia="Times New Roman"/>
        </w:rPr>
        <w:t xml:space="preserve">Процессный подход предполагает планирование процессов и их взаимодействия. Он включает цикл «Планируй — Делай — Проверяй — Действуй» (PDCA).</w:t>
      </w:r>
      <w:r/>
    </w:p>
    <w:p>
      <w:pPr>
        <w:pStyle w:val="965"/>
        <w:numPr>
          <w:ilvl w:val="0"/>
          <w:numId w:val="55"/>
        </w:numPr>
        <w:pBdr/>
        <w:spacing/>
        <w:ind/>
        <w:rPr/>
      </w:pPr>
      <w:r>
        <w:rPr>
          <w:rFonts w:eastAsia="Times New Roman"/>
        </w:rPr>
        <w:t xml:space="preserve">Риск-ориентированное мы</w:t>
      </w:r>
      <w:r>
        <w:rPr>
          <w:rFonts w:eastAsia="Times New Roman"/>
        </w:rPr>
        <w:t xml:space="preserve">шление позволяет определять факторы, которые могут привести к отклонению от запланированных результатов, и использовать предупреждающие средства управления для минимизации негативных последствий.</w:t>
      </w:r>
      <w:r/>
    </w:p>
    <w:p>
      <w:pPr>
        <w:pStyle w:val="965"/>
        <w:pBdr/>
        <w:spacing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  <w:color w:val="1f2328"/>
        </w:rPr>
        <w:t xml:space="preserve">Ц</w:t>
      </w:r>
      <w:r>
        <w:rPr>
          <w:rFonts w:eastAsia="Times New Roman"/>
          <w:b/>
          <w:bCs/>
          <w:color w:val="1f2328"/>
          <w:highlight w:val="white"/>
        </w:rPr>
        <w:t xml:space="preserve">икл PDCA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8"/>
        </w:numPr>
        <w:pBdr/>
        <w:spacing/>
        <w:ind/>
        <w:rPr/>
      </w:pPr>
      <w:r>
        <w:rPr>
          <w:rFonts w:eastAsia="Times New Roman"/>
        </w:rPr>
        <w:t xml:space="preserve">Цикл PDCA (Plan-Do-Check-Act), также известный как</w:t>
      </w:r>
      <w:r>
        <w:rPr>
          <w:rFonts w:eastAsia="Times New Roman"/>
        </w:rPr>
        <w:t xml:space="preserve"> цикл Деминга или цикл управления качеством, — это методология для улучшения и совершенствования бизнес-процессов и систем. Термин предложен американским экономистом Уильямом Демингом.</w:t>
      </w:r>
      <w:r/>
    </w:p>
    <w:p>
      <w:pPr>
        <w:pStyle w:val="965"/>
        <w:pBdr/>
        <w:spacing/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Суть цикла</w:t>
      </w:r>
      <w:r>
        <w:rPr>
          <w:rFonts w:eastAsia="Times New Roman"/>
        </w:rPr>
      </w:r>
    </w:p>
    <w:p>
      <w:pPr>
        <w:pStyle w:val="965"/>
        <w:pBdr/>
        <w:spacing/>
        <w:ind w:firstLine="0"/>
        <w:rPr>
          <w:rFonts w:eastAsia="Times New Roman"/>
        </w:rPr>
      </w:pPr>
      <w:r>
        <w:rPr>
          <w:rFonts w:eastAsia="Times New Roman"/>
        </w:rPr>
        <w:t xml:space="preserve">Совершенство недостижимо за один шаг, истинного качества можно добиться только через последовательные улучшения, где каждый новый цикл опирается на результаты предыдущего.</w:t>
      </w:r>
      <w:r>
        <w:rPr>
          <w:rFonts w:eastAsia="Times New Roman"/>
        </w:rPr>
      </w:r>
    </w:p>
    <w:p>
      <w:pPr>
        <w:pStyle w:val="965"/>
        <w:pBdr/>
        <w:spacing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Основные документы СМК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9"/>
        </w:numPr>
        <w:pBdr/>
        <w:spacing/>
        <w:ind/>
        <w:rPr/>
      </w:pPr>
      <w:r>
        <w:rPr>
          <w:rFonts w:eastAsia="Times New Roman"/>
        </w:rPr>
        <w:t xml:space="preserve">Руководство по качеству. Содержит исходные описания всех бизн</w:t>
      </w:r>
      <w:r>
        <w:rPr>
          <w:rFonts w:eastAsia="Times New Roman"/>
        </w:rPr>
        <w:t xml:space="preserve">ес-процессов, результаты их использования, а также методы по контролю.</w:t>
      </w:r>
      <w:r/>
    </w:p>
    <w:p>
      <w:pPr>
        <w:pStyle w:val="965"/>
        <w:numPr>
          <w:ilvl w:val="0"/>
          <w:numId w:val="9"/>
        </w:numPr>
        <w:pBdr/>
        <w:spacing/>
        <w:ind/>
        <w:rPr/>
      </w:pPr>
      <w:r>
        <w:rPr>
          <w:rFonts w:eastAsia="Times New Roman"/>
        </w:rPr>
        <w:t xml:space="preserve">Политика и цели по качеству. Задают направление развития предприятия, расписывают принципы работы. Составляется как письменное заявление, которое содержит заявления высшего руководства,</w:t>
      </w:r>
      <w:r>
        <w:rPr>
          <w:rFonts w:eastAsia="Times New Roman"/>
        </w:rPr>
        <w:t xml:space="preserve"> а также цели и задачи, которые ставит перед собой предприятие.</w:t>
      </w:r>
      <w:r/>
    </w:p>
    <w:p>
      <w:pPr>
        <w:pStyle w:val="965"/>
        <w:numPr>
          <w:ilvl w:val="0"/>
          <w:numId w:val="9"/>
        </w:numPr>
        <w:pBdr/>
        <w:spacing/>
        <w:ind/>
        <w:rPr/>
      </w:pPr>
      <w:r>
        <w:rPr>
          <w:rFonts w:eastAsia="Times New Roman"/>
        </w:rPr>
        <w:t xml:space="preserve">Документированные процедуры. В них описываются подробно конкретные действия по управлению производственных процессов или любых других бизнес-процессов компании.</w:t>
      </w:r>
      <w:r/>
    </w:p>
    <w:p>
      <w:pPr>
        <w:pStyle w:val="965"/>
        <w:numPr>
          <w:ilvl w:val="0"/>
          <w:numId w:val="9"/>
        </w:numPr>
        <w:pBdr/>
        <w:spacing/>
        <w:ind/>
        <w:rPr/>
      </w:pPr>
      <w:r>
        <w:rPr>
          <w:rFonts w:eastAsia="Times New Roman"/>
        </w:rPr>
        <w:t xml:space="preserve">Внутренние нормативные акты. Ср</w:t>
      </w:r>
      <w:r>
        <w:rPr>
          <w:rFonts w:eastAsia="Times New Roman"/>
        </w:rPr>
        <w:t xml:space="preserve">еди них стандарты, технические условия, руководства по эксплуатации, чертежи потребителей и другие сведения.</w:t>
      </w:r>
      <w:r/>
    </w:p>
    <w:p>
      <w:pPr>
        <w:pStyle w:val="965"/>
        <w:numPr>
          <w:ilvl w:val="0"/>
          <w:numId w:val="9"/>
        </w:numPr>
        <w:pBdr/>
        <w:spacing/>
        <w:ind/>
        <w:rPr/>
      </w:pPr>
      <w:r>
        <w:rPr>
          <w:rFonts w:eastAsia="Times New Roman"/>
        </w:rPr>
        <w:t xml:space="preserve">Планы мероприятий по качеству. Описываются основные ресурсы, инструкции, процессы, применяемые к определённой продукции.</w:t>
      </w:r>
      <w:r/>
    </w:p>
    <w:p>
      <w:pPr>
        <w:pStyle w:val="965"/>
        <w:numPr>
          <w:ilvl w:val="0"/>
          <w:numId w:val="9"/>
        </w:numPr>
        <w:pBdr/>
        <w:spacing/>
        <w:ind/>
        <w:rPr/>
      </w:pPr>
      <w:r>
        <w:rPr>
          <w:rFonts w:eastAsia="Times New Roman"/>
        </w:rPr>
        <w:t xml:space="preserve">Инструкции для сотрудников</w:t>
      </w:r>
      <w:r>
        <w:rPr>
          <w:rFonts w:eastAsia="Times New Roman"/>
        </w:rPr>
        <w:t xml:space="preserve">. Документ устанавливает порядок осуществления поставленных задач.</w:t>
      </w:r>
      <w:r/>
    </w:p>
    <w:p>
      <w:pPr>
        <w:pStyle w:val="965"/>
        <w:numPr>
          <w:ilvl w:val="0"/>
          <w:numId w:val="9"/>
        </w:numPr>
        <w:pBdr/>
        <w:spacing/>
        <w:ind/>
        <w:rPr/>
      </w:pPr>
      <w:r>
        <w:rPr>
          <w:rFonts w:eastAsia="Times New Roman"/>
        </w:rPr>
        <w:t xml:space="preserve">Отчёты и журналы. Фиксируют факты, события, риски, сведения о проведённых работах либо выполненных задачах. Позволяют использовать эту информацию для улучшений, в том числе при анализе эффе</w:t>
      </w:r>
      <w:r>
        <w:rPr>
          <w:rFonts w:eastAsia="Times New Roman"/>
        </w:rPr>
        <w:t xml:space="preserve">ктивности системы менеджмента.</w:t>
      </w:r>
      <w:r/>
    </w:p>
    <w:p>
      <w:pPr>
        <w:pStyle w:val="965"/>
        <w:pBdr/>
        <w:spacing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Аудит системы качества и виды аудита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10"/>
        </w:numPr>
        <w:pBdr/>
        <w:spacing/>
        <w:ind/>
        <w:rPr/>
      </w:pPr>
      <w:r>
        <w:rPr>
          <w:rFonts w:eastAsia="Times New Roman"/>
        </w:rPr>
        <w:t xml:space="preserve">Аудит системы менеджмента качества (СМК) — это проверка соответствия бизнес-системы, процессов или функций определённым требованиям. Требования могут задавать стандарт, например из семейства ИСО, или показатели эффективности, потребности бизнеса. </w:t>
      </w:r>
      <w:r/>
    </w:p>
    <w:p>
      <w:pPr>
        <w:pStyle w:val="965"/>
        <w:pBdr/>
        <w:spacing/>
        <w:ind w:firstLine="0"/>
        <w:jc w:val="center"/>
        <w:rPr/>
      </w:pPr>
      <w:r>
        <w:rPr>
          <w:rFonts w:eastAsia="Times New Roman"/>
        </w:rPr>
        <w:t xml:space="preserve">Внутренн</w:t>
      </w:r>
      <w:r>
        <w:rPr>
          <w:rFonts w:eastAsia="Times New Roman"/>
        </w:rPr>
        <w:t xml:space="preserve">ий аудит</w:t>
      </w:r>
      <w:r/>
    </w:p>
    <w:p>
      <w:pPr>
        <w:pStyle w:val="965"/>
        <w:numPr>
          <w:ilvl w:val="0"/>
          <w:numId w:val="11"/>
        </w:numPr>
        <w:pBdr/>
        <w:spacing/>
        <w:ind/>
        <w:rPr/>
      </w:pPr>
      <w:r>
        <w:rPr>
          <w:rFonts w:eastAsia="Times New Roman"/>
        </w:rPr>
        <w:t xml:space="preserve">Проводится внутри организации своими силами или специально нанятыми специалистами. Цель — оценить качество внедрённой системы менеджмента, выявить слабые стороны и выработать рекомендации по улучшению. </w:t>
      </w:r>
      <w:r/>
    </w:p>
    <w:p>
      <w:pPr>
        <w:pStyle w:val="965"/>
        <w:pBdr/>
        <w:spacing/>
        <w:ind w:firstLine="0"/>
        <w:rPr/>
      </w:pPr>
      <w:r>
        <w:rPr>
          <w:rFonts w:eastAsia="Times New Roman"/>
        </w:rPr>
        <w:t xml:space="preserve">Особенности:</w:t>
      </w:r>
      <w:r/>
    </w:p>
    <w:p>
      <w:pPr>
        <w:pStyle w:val="965"/>
        <w:numPr>
          <w:ilvl w:val="0"/>
          <w:numId w:val="12"/>
        </w:numPr>
        <w:pBdr/>
        <w:spacing/>
        <w:ind/>
        <w:rPr/>
      </w:pPr>
      <w:r>
        <w:rPr>
          <w:rFonts w:eastAsia="Times New Roman"/>
        </w:rPr>
        <w:t xml:space="preserve">Оценивает все элементы системы,</w:t>
      </w:r>
      <w:r>
        <w:rPr>
          <w:rFonts w:eastAsia="Times New Roman"/>
        </w:rPr>
        <w:t xml:space="preserve"> анализирует документированную информацию (процедуры, чертежи, спецификации, стандарты).</w:t>
      </w:r>
      <w:r/>
    </w:p>
    <w:p>
      <w:pPr>
        <w:pStyle w:val="965"/>
        <w:numPr>
          <w:ilvl w:val="0"/>
          <w:numId w:val="12"/>
        </w:numPr>
        <w:pBdr/>
        <w:spacing/>
        <w:ind/>
        <w:rPr/>
      </w:pPr>
      <w:r>
        <w:rPr>
          <w:rFonts w:eastAsia="Times New Roman"/>
        </w:rPr>
        <w:t xml:space="preserve">Может проводиться по графику (например, помесячно, квартально, ежегодно).</w:t>
      </w:r>
      <w:r/>
    </w:p>
    <w:p>
      <w:pPr>
        <w:pStyle w:val="965"/>
        <w:numPr>
          <w:ilvl w:val="0"/>
          <w:numId w:val="12"/>
        </w:numPr>
        <w:pBdr/>
        <w:spacing/>
        <w:ind/>
        <w:rPr/>
      </w:pPr>
      <w:r>
        <w:rPr>
          <w:rFonts w:eastAsia="Times New Roman"/>
        </w:rPr>
        <w:t xml:space="preserve">По возможности аудиторы не проверяют собственную работу, чтобы обеспечить объективность.</w:t>
      </w:r>
      <w:r/>
    </w:p>
    <w:p>
      <w:pPr>
        <w:pStyle w:val="965"/>
        <w:pBdr/>
        <w:spacing/>
        <w:ind w:firstLine="0"/>
        <w:jc w:val="center"/>
        <w:rPr/>
      </w:pPr>
      <w:r>
        <w:rPr>
          <w:rFonts w:eastAsia="Times New Roman"/>
        </w:rPr>
        <w:t xml:space="preserve">Внеш</w:t>
      </w:r>
      <w:r>
        <w:rPr>
          <w:rFonts w:eastAsia="Times New Roman"/>
        </w:rPr>
        <w:t xml:space="preserve">ний аудит</w:t>
      </w:r>
      <w:r/>
    </w:p>
    <w:p>
      <w:pPr>
        <w:pStyle w:val="965"/>
        <w:pBdr/>
        <w:spacing/>
        <w:ind w:firstLine="0"/>
        <w:rPr/>
      </w:pPr>
      <w:r>
        <w:rPr>
          <w:rFonts w:eastAsia="Times New Roman"/>
        </w:rPr>
        <w:t xml:space="preserve">Проводится сторонней компанией. Может проводиться:</w:t>
      </w:r>
      <w:r/>
    </w:p>
    <w:p>
      <w:pPr>
        <w:pStyle w:val="965"/>
        <w:numPr>
          <w:ilvl w:val="0"/>
          <w:numId w:val="13"/>
        </w:numPr>
        <w:pBdr/>
        <w:spacing/>
        <w:ind/>
        <w:rPr/>
      </w:pPr>
      <w:r>
        <w:rPr>
          <w:rFonts w:eastAsia="Times New Roman"/>
        </w:rPr>
        <w:t xml:space="preserve">Заинтересованной стороной — например, компанией-заказчиком товаров или услуг (аудит второй стороны).</w:t>
      </w:r>
      <w:r/>
    </w:p>
    <w:p>
      <w:pPr>
        <w:pStyle w:val="965"/>
        <w:numPr>
          <w:ilvl w:val="0"/>
          <w:numId w:val="13"/>
        </w:numPr>
        <w:pBdr/>
        <w:spacing/>
        <w:ind/>
        <w:rPr/>
      </w:pPr>
      <w:r>
        <w:rPr>
          <w:rFonts w:eastAsia="Times New Roman"/>
        </w:rPr>
        <w:t xml:space="preserve">Независимой от проверяемой компании — например, органом по сертификации.</w:t>
      </w:r>
      <w:r/>
    </w:p>
    <w:p>
      <w:pPr>
        <w:pStyle w:val="965"/>
        <w:pBdr/>
        <w:spacing/>
        <w:ind w:firstLine="0"/>
        <w:rPr/>
      </w:pPr>
      <w:r>
        <w:rPr>
          <w:rFonts w:eastAsia="Times New Roman"/>
        </w:rPr>
        <w:t xml:space="preserve">Особенности:</w:t>
      </w:r>
      <w:r/>
    </w:p>
    <w:p>
      <w:pPr>
        <w:pStyle w:val="965"/>
        <w:numPr>
          <w:ilvl w:val="0"/>
          <w:numId w:val="14"/>
        </w:numPr>
        <w:pBdr/>
        <w:spacing/>
        <w:ind/>
        <w:rPr/>
      </w:pPr>
      <w:r>
        <w:rPr>
          <w:rFonts w:eastAsia="Times New Roman"/>
        </w:rPr>
        <w:t xml:space="preserve">В процес</w:t>
      </w:r>
      <w:r>
        <w:rPr>
          <w:rFonts w:eastAsia="Times New Roman"/>
        </w:rPr>
        <w:t xml:space="preserve">се аудита специалисты могут не только проверить документы, но и провести опрос сотрудников, анкетирование, проверить рабочие процессы на местах.</w:t>
      </w:r>
      <w:r/>
    </w:p>
    <w:p>
      <w:pPr>
        <w:pStyle w:val="965"/>
        <w:numPr>
          <w:ilvl w:val="0"/>
          <w:numId w:val="14"/>
        </w:numPr>
        <w:pBdr/>
        <w:spacing/>
        <w:ind/>
        <w:rPr/>
      </w:pPr>
      <w:r>
        <w:rPr>
          <w:rFonts w:eastAsia="Times New Roman"/>
        </w:rPr>
        <w:t xml:space="preserve">Результаты проверки оформляются документально, определяется перечень действий, необходимых для устранения наруш</w:t>
      </w:r>
      <w:r>
        <w:rPr>
          <w:rFonts w:eastAsia="Times New Roman"/>
        </w:rPr>
        <w:t xml:space="preserve">ений, сроки выполнения мероприятий.</w:t>
      </w:r>
      <w:r/>
    </w:p>
    <w:p>
      <w:pPr>
        <w:pStyle w:val="965"/>
        <w:pBdr/>
        <w:spacing/>
        <w:ind w:firstLine="0"/>
        <w:jc w:val="center"/>
        <w:rPr/>
      </w:pPr>
      <w:r>
        <w:rPr>
          <w:rFonts w:eastAsia="Times New Roman"/>
        </w:rPr>
        <w:t xml:space="preserve">Сертификационный аудит</w:t>
      </w:r>
      <w:r/>
    </w:p>
    <w:p>
      <w:pPr>
        <w:pStyle w:val="965"/>
        <w:numPr>
          <w:ilvl w:val="0"/>
          <w:numId w:val="15"/>
        </w:numPr>
        <w:pBdr/>
        <w:spacing/>
        <w:ind/>
        <w:rPr/>
      </w:pPr>
      <w:r>
        <w:rPr>
          <w:rFonts w:eastAsia="Times New Roman"/>
        </w:rPr>
        <w:t xml:space="preserve">Проводится независимой компанией — органом по сертификации. Цель — оценить систему менеджмента на соответствие требованиям стандарта и готовность к сертификации по нему. </w:t>
      </w:r>
      <w:r/>
    </w:p>
    <w:p>
      <w:pPr>
        <w:pStyle w:val="965"/>
        <w:pBdr/>
        <w:spacing/>
        <w:ind w:firstLine="0"/>
        <w:rPr/>
      </w:pPr>
      <w:r>
        <w:rPr>
          <w:rFonts w:eastAsia="Times New Roman"/>
        </w:rPr>
        <w:t xml:space="preserve">Особенности:</w:t>
      </w:r>
      <w:r/>
    </w:p>
    <w:p>
      <w:pPr>
        <w:pStyle w:val="965"/>
        <w:numPr>
          <w:ilvl w:val="0"/>
          <w:numId w:val="16"/>
        </w:numPr>
        <w:pBdr/>
        <w:spacing/>
        <w:ind/>
        <w:rPr/>
      </w:pPr>
      <w:r>
        <w:rPr>
          <w:rFonts w:eastAsia="Times New Roman"/>
        </w:rPr>
        <w:t xml:space="preserve">Аудит проходи</w:t>
      </w:r>
      <w:r>
        <w:rPr>
          <w:rFonts w:eastAsia="Times New Roman"/>
        </w:rPr>
        <w:t xml:space="preserve">т в два этапа: предварительная оценка, проверка документации, выездная проверка на месте, включая интервью с сотрудниками, просмотр записей, наблюдение за выполнением процедур.</w:t>
      </w:r>
      <w:r/>
    </w:p>
    <w:p>
      <w:pPr>
        <w:pStyle w:val="965"/>
        <w:numPr>
          <w:ilvl w:val="0"/>
          <w:numId w:val="16"/>
        </w:numPr>
        <w:pBdr/>
        <w:spacing/>
        <w:ind/>
        <w:rPr/>
      </w:pPr>
      <w:r>
        <w:rPr>
          <w:rFonts w:eastAsia="Times New Roman"/>
        </w:rPr>
        <w:t xml:space="preserve">После успешной аудиторской проверки орган выдаёт сертификат соответствия, котор</w:t>
      </w:r>
      <w:r>
        <w:rPr>
          <w:rFonts w:eastAsia="Times New Roman"/>
        </w:rPr>
        <w:t xml:space="preserve">ый подтверждает, что система менеджмента качества соответствует требованиям выбранного стандарта и применяется эффективно.</w:t>
      </w:r>
      <w:r/>
    </w:p>
    <w:p>
      <w:pPr>
        <w:pStyle w:val="965"/>
        <w:numPr>
          <w:ilvl w:val="0"/>
          <w:numId w:val="16"/>
        </w:numPr>
        <w:pBdr/>
        <w:spacing/>
        <w:ind/>
        <w:rPr/>
      </w:pPr>
      <w:r>
        <w:rPr>
          <w:rFonts w:eastAsia="Times New Roman"/>
        </w:rPr>
        <w:t xml:space="preserve">Сертификационный орган проводит регулярные надзорные аудиты, чтобы убедиться, что компания поддерживает соответствие. Обычно такие проверки проходят ежегодно — без предупреждения или с минимальным уведомлением.</w:t>
      </w:r>
      <w:r/>
    </w:p>
    <w:p>
      <w:pPr>
        <w:pStyle w:val="965"/>
        <w:pBdr/>
        <w:spacing/>
        <w:ind w:firstLine="0"/>
        <w:jc w:val="left"/>
        <w:outlineLvl w:val="1"/>
        <w:rPr>
          <w:rFonts w:eastAsia="Times New Roman"/>
        </w:rPr>
      </w:pPr>
      <w:r>
        <w:rPr>
          <w:rFonts w:eastAsia="Times New Roman"/>
        </w:rPr>
        <w:t xml:space="preserve">1.3. Нормативно-правовое регулирование</w:t>
      </w:r>
      <w:r>
        <w:rPr>
          <w:rFonts w:eastAsia="Times New Roman"/>
        </w:rPr>
      </w:r>
    </w:p>
    <w:p>
      <w:pPr>
        <w:pStyle w:val="965"/>
        <w:pBdr/>
        <w:spacing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Основн</w:t>
      </w:r>
      <w:r>
        <w:rPr>
          <w:rFonts w:eastAsia="Times New Roman"/>
          <w:b/>
          <w:bCs/>
        </w:rPr>
        <w:t xml:space="preserve">ые законы РФ которые регулируют стандартизацию и сертификацию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17"/>
        </w:numPr>
        <w:pBdr/>
        <w:spacing/>
        <w:ind/>
        <w:rPr/>
      </w:pPr>
      <w:r>
        <w:rPr>
          <w:rFonts w:eastAsia="Times New Roman"/>
        </w:rPr>
        <w:t xml:space="preserve">Федеральный закон от 27.12.2002 №184-ФЗ «О техническом регулировании». Основной документ, определяющий обязательные требования к продукции, — технический регламент. </w:t>
      </w:r>
      <w:r/>
    </w:p>
    <w:p>
      <w:pPr>
        <w:pStyle w:val="965"/>
        <w:numPr>
          <w:ilvl w:val="0"/>
          <w:numId w:val="17"/>
        </w:numPr>
        <w:pBdr/>
        <w:spacing/>
        <w:ind/>
        <w:rPr/>
      </w:pPr>
      <w:r>
        <w:rPr>
          <w:rFonts w:eastAsia="Times New Roman"/>
        </w:rPr>
        <w:t xml:space="preserve">Федеральный закон от 29.06.2</w:t>
      </w:r>
      <w:r>
        <w:rPr>
          <w:rFonts w:eastAsia="Times New Roman"/>
        </w:rPr>
        <w:t xml:space="preserve">015 №162-ФЗ «О стандартизации в Российской Федерации». Устанавливает правовые основы стандартизации в РФ, в том числе функционирования национальной системы стандартизации. </w:t>
      </w:r>
      <w:r/>
    </w:p>
    <w:p>
      <w:pPr>
        <w:pStyle w:val="965"/>
        <w:numPr>
          <w:ilvl w:val="0"/>
          <w:numId w:val="17"/>
        </w:numPr>
        <w:pBdr/>
        <w:spacing/>
        <w:ind/>
        <w:rPr/>
      </w:pPr>
      <w:r>
        <w:rPr>
          <w:rFonts w:eastAsia="Times New Roman"/>
        </w:rPr>
        <w:t xml:space="preserve">Федеральный закон от 28.12.2013 №412-ФЗ «Об аккредитации в национальной системе акк</w:t>
      </w:r>
      <w:r>
        <w:rPr>
          <w:rFonts w:eastAsia="Times New Roman"/>
        </w:rPr>
        <w:t xml:space="preserve">редитации». Регулирует аккредитацию органов по сертификации и испытательных лабораторий (центров), а также государственный контроль (надзор) за соблюдением требований технических регламентов. </w:t>
      </w:r>
      <w:r/>
    </w:p>
    <w:p>
      <w:pPr>
        <w:pStyle w:val="965"/>
        <w:numPr>
          <w:ilvl w:val="0"/>
          <w:numId w:val="17"/>
        </w:numPr>
        <w:pBdr/>
        <w:spacing/>
        <w:ind/>
        <w:rPr/>
      </w:pPr>
      <w:r>
        <w:rPr>
          <w:rFonts w:eastAsia="Times New Roman"/>
        </w:rPr>
        <w:t xml:space="preserve">Федеральный закон от 07.02.1992 №2300-1-ФЗ «О защите прав потре</w:t>
      </w:r>
      <w:r>
        <w:rPr>
          <w:rFonts w:eastAsia="Times New Roman"/>
        </w:rPr>
        <w:t xml:space="preserve">бителей». </w:t>
      </w:r>
      <w:r/>
    </w:p>
    <w:p>
      <w:pPr>
        <w:pStyle w:val="965"/>
        <w:numPr>
          <w:ilvl w:val="0"/>
          <w:numId w:val="17"/>
        </w:numPr>
        <w:pBdr/>
        <w:spacing/>
        <w:ind/>
        <w:rPr/>
      </w:pPr>
      <w:r>
        <w:rPr>
          <w:rFonts w:eastAsia="Times New Roman"/>
        </w:rPr>
        <w:t xml:space="preserve">Федеральный закон от 26.06.2008 №102-ФЗ «Об обеспечении единства измерений». </w:t>
      </w:r>
      <w:r/>
    </w:p>
    <w:p>
      <w:pPr>
        <w:pStyle w:val="965"/>
        <w:numPr>
          <w:ilvl w:val="0"/>
          <w:numId w:val="17"/>
        </w:numPr>
        <w:pBdr/>
        <w:spacing/>
        <w:ind/>
        <w:rPr/>
      </w:pPr>
      <w:r>
        <w:rPr>
          <w:rFonts w:eastAsia="Times New Roman"/>
        </w:rPr>
        <w:t xml:space="preserve">Федеральный закон от 10.01.2002 №7-ФЗ «Об охране окружающей среды». </w:t>
      </w:r>
      <w:r/>
    </w:p>
    <w:p>
      <w:pPr>
        <w:pStyle w:val="965"/>
        <w:numPr>
          <w:ilvl w:val="0"/>
          <w:numId w:val="17"/>
        </w:numPr>
        <w:pBdr/>
        <w:spacing/>
        <w:ind/>
        <w:rPr/>
      </w:pPr>
      <w:r>
        <w:rPr>
          <w:rFonts w:eastAsia="Times New Roman"/>
        </w:rPr>
        <w:t xml:space="preserve">Федеральный закон от 17.07.1999 №181-ФЗ «Об основах охраны труда в Российской Федерации».</w:t>
      </w:r>
      <w:r/>
    </w:p>
    <w:p>
      <w:pPr>
        <w:pStyle w:val="965"/>
        <w:pBdr/>
        <w:spacing/>
        <w:ind w:firstLine="0" w:left="709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Технический регламент и чем он отличается от стандарта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19"/>
        </w:numPr>
        <w:pBdr/>
        <w:spacing/>
        <w:ind/>
        <w:rPr/>
      </w:pPr>
      <w:r>
        <w:rPr>
          <w:rFonts w:eastAsia="Times New Roman"/>
        </w:rPr>
        <w:t xml:space="preserve">Технический регламент — это нормативно-правовой акт, который устанавливает обязательные для применения и исполнения требования к объектам технического регулирования: продукции, зданиям, строениям, соор</w:t>
      </w:r>
      <w:r>
        <w:rPr>
          <w:rFonts w:eastAsia="Times New Roman"/>
        </w:rPr>
        <w:t xml:space="preserve">ужениям, процессам производства, транспортировки, хранения, эксплуатации и утилизации. </w:t>
      </w:r>
      <w:r/>
    </w:p>
    <w:p>
      <w:pPr>
        <w:pStyle w:val="965"/>
        <w:numPr>
          <w:ilvl w:val="0"/>
          <w:numId w:val="19"/>
        </w:numPr>
        <w:pBdr/>
        <w:spacing/>
        <w:ind/>
        <w:rPr/>
      </w:pPr>
      <w:r>
        <w:rPr>
          <w:rFonts w:eastAsia="Times New Roman"/>
        </w:rPr>
        <w:t xml:space="preserve">Стандарт — это нормативный технический документ, который устанавливает нормы, правила, требования к объекту стандартизации. </w:t>
      </w:r>
      <w:r/>
    </w:p>
    <w:p>
      <w:pPr>
        <w:pStyle w:val="965"/>
        <w:pBdr/>
        <w:spacing/>
        <w:ind w:firstLine="0" w:left="709"/>
        <w:jc w:val="center"/>
        <w:rPr/>
      </w:pPr>
      <w:r>
        <w:rPr>
          <w:rFonts w:eastAsia="Times New Roman"/>
        </w:rPr>
        <w:t xml:space="preserve">Основное отличие технического регламента от</w:t>
      </w:r>
      <w:r>
        <w:rPr>
          <w:rFonts w:eastAsia="Times New Roman"/>
        </w:rPr>
        <w:t xml:space="preserve"> стандарта заключается в характере этих документов:</w:t>
      </w:r>
      <w:r/>
    </w:p>
    <w:p>
      <w:pPr>
        <w:pStyle w:val="965"/>
        <w:numPr>
          <w:ilvl w:val="0"/>
          <w:numId w:val="20"/>
        </w:numPr>
        <w:pBdr/>
        <w:spacing/>
        <w:ind/>
        <w:rPr/>
      </w:pPr>
      <w:r>
        <w:rPr>
          <w:rFonts w:eastAsia="Times New Roman"/>
        </w:rPr>
        <w:t xml:space="preserve">Обязательность соблюдения: соблюдение технического регламента обязательно, в то время как соблюдение стандарта — добровольное.</w:t>
      </w:r>
      <w:r/>
    </w:p>
    <w:p>
      <w:pPr>
        <w:pStyle w:val="965"/>
        <w:numPr>
          <w:ilvl w:val="0"/>
          <w:numId w:val="20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Акцент: техрегламент делает акцент на безопасности товара, а стандарт — на ка</w:t>
      </w:r>
      <w:r>
        <w:rPr>
          <w:rFonts w:eastAsia="Times New Roman"/>
        </w:rPr>
        <w:t xml:space="preserve">честве.</w:t>
      </w:r>
      <w:r>
        <w:rPr>
          <w:rFonts w:eastAsia="Times New Roman"/>
        </w:rPr>
      </w:r>
    </w:p>
    <w:p>
      <w:pPr>
        <w:pStyle w:val="965"/>
        <w:pBdr/>
        <w:spacing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Виды технических регламентов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18"/>
        </w:numPr>
        <w:pBdr/>
        <w:spacing/>
        <w:ind/>
        <w:rPr/>
      </w:pPr>
      <w:r>
        <w:rPr>
          <w:rFonts w:eastAsia="Times New Roman"/>
        </w:rPr>
        <w:t xml:space="preserve">Общие. Требования таких регламентов обязательны к применению и соблюдению в отношении всех видов продукции и производственных процессов. Они относятся к вопросам безопасности эксплуатации зданий, сооружений и прилегающи</w:t>
      </w:r>
      <w:r>
        <w:rPr>
          <w:rFonts w:eastAsia="Times New Roman"/>
        </w:rPr>
        <w:t xml:space="preserve">х территорий, пожарной безопасности, электромагнитной безопасности, радиационной и ядерной безопасности, экологической безопасности, биологической безопасности.</w:t>
      </w:r>
      <w:r/>
    </w:p>
    <w:p>
      <w:pPr>
        <w:pStyle w:val="965"/>
        <w:numPr>
          <w:ilvl w:val="0"/>
          <w:numId w:val="18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Специальные. В них прописаны требования к технологическим и иным особенностям отдельных товаров</w:t>
      </w:r>
      <w:r>
        <w:rPr>
          <w:rFonts w:eastAsia="Times New Roman"/>
        </w:rPr>
        <w:t xml:space="preserve"> и процессов производства. Специальные регламенты применяются в отношении только отдельных видов продукции и процессов производства, уровень риска нанесения вреда которыми выше уровня риска, учтённого в общем регламенте.</w:t>
      </w:r>
      <w:r>
        <w:rPr>
          <w:rFonts w:eastAsia="Times New Roman"/>
        </w:rPr>
      </w:r>
    </w:p>
    <w:p>
      <w:pPr>
        <w:pStyle w:val="965"/>
        <w:pBdr/>
        <w:spacing/>
        <w:ind w:firstLine="0" w:left="709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Национальная система стандартизации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21"/>
        </w:numPr>
        <w:pBdr/>
        <w:spacing/>
        <w:ind/>
        <w:jc w:val="left"/>
        <w:rPr>
          <w:rFonts w:eastAsia="Times New Roman"/>
        </w:rPr>
      </w:pPr>
      <w:r>
        <w:rPr>
          <w:rFonts w:eastAsia="Times New Roman"/>
        </w:rPr>
        <w:t xml:space="preserve">Национальная система стандартизации (НСС) в Российской Федерации — это совокупность взаимосвязанных норм национального законодательства, которые регламентируют порядок проведения работ по стандартизации и участия в ней отдельных лиц и органов.</w:t>
      </w:r>
      <w:r>
        <w:rPr>
          <w:rFonts w:eastAsia="Times New Roman"/>
        </w:rPr>
      </w:r>
    </w:p>
    <w:p>
      <w:pPr>
        <w:pStyle w:val="965"/>
        <w:pBdr/>
        <w:spacing/>
        <w:ind w:firstLine="0" w:left="709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Структура Ф</w:t>
      </w:r>
      <w:r>
        <w:rPr>
          <w:rFonts w:eastAsia="Times New Roman"/>
          <w:b/>
          <w:bCs/>
        </w:rPr>
        <w:t xml:space="preserve">едерального агентства по техническому регулированию и метрологии</w:t>
      </w:r>
      <w:r>
        <w:rPr>
          <w:rFonts w:eastAsia="Times New Roman"/>
          <w:b/>
          <w:bCs/>
        </w:rPr>
      </w:r>
    </w:p>
    <w:p>
      <w:pPr>
        <w:pStyle w:val="965"/>
        <w:numPr>
          <w:ilvl w:val="0"/>
          <w:numId w:val="22"/>
        </w:numPr>
        <w:pBdr/>
        <w:spacing/>
        <w:ind/>
        <w:jc w:val="left"/>
        <w:rPr/>
      </w:pPr>
      <w:r>
        <w:rPr>
          <w:rFonts w:eastAsia="Times New Roman"/>
        </w:rPr>
        <w:t xml:space="preserve">руководителя агентства и его заместителей;</w:t>
      </w:r>
      <w:r/>
    </w:p>
    <w:p>
      <w:pPr>
        <w:pStyle w:val="965"/>
        <w:numPr>
          <w:ilvl w:val="0"/>
          <w:numId w:val="22"/>
        </w:numPr>
        <w:pBdr/>
        <w:spacing/>
        <w:ind/>
        <w:jc w:val="left"/>
        <w:rPr/>
      </w:pPr>
      <w:r>
        <w:rPr>
          <w:rFonts w:eastAsia="Times New Roman"/>
        </w:rPr>
        <w:t xml:space="preserve">помощников (советников) руководителя;</w:t>
      </w:r>
      <w:r/>
    </w:p>
    <w:p>
      <w:pPr>
        <w:pStyle w:val="965"/>
        <w:pBdr/>
        <w:spacing/>
        <w:ind w:firstLine="0" w:left="709"/>
        <w:jc w:val="center"/>
        <w:rPr/>
      </w:pPr>
      <w:r>
        <w:rPr>
          <w:rFonts w:eastAsia="Times New Roman"/>
        </w:rPr>
        <w:t xml:space="preserve">Структурные подразделения по основным направлениям деятельности:</w:t>
      </w:r>
      <w:r/>
    </w:p>
    <w:p>
      <w:pPr>
        <w:pStyle w:val="965"/>
        <w:numPr>
          <w:ilvl w:val="0"/>
          <w:numId w:val="23"/>
        </w:numPr>
        <w:pBdr/>
        <w:spacing/>
        <w:ind/>
        <w:jc w:val="left"/>
        <w:rPr/>
      </w:pPr>
      <w:r>
        <w:rPr>
          <w:rFonts w:eastAsia="Times New Roman"/>
        </w:rPr>
        <w:t xml:space="preserve">управления центрального аппарата Росстандарта</w:t>
      </w:r>
      <w:r>
        <w:rPr>
          <w:rFonts w:eastAsia="Times New Roman"/>
        </w:rPr>
        <w:t xml:space="preserve"> (административной работы и внешних связей, метрологии, государственного контроля и надзора, стандартизации, финансово-экономическое, цифрового развития технического регулирования);</w:t>
      </w:r>
      <w:r/>
    </w:p>
    <w:p>
      <w:pPr>
        <w:pStyle w:val="965"/>
        <w:numPr>
          <w:ilvl w:val="0"/>
          <w:numId w:val="23"/>
        </w:numPr>
        <w:pBdr/>
        <w:spacing/>
        <w:ind/>
        <w:jc w:val="left"/>
        <w:rPr/>
      </w:pPr>
      <w:r>
        <w:rPr>
          <w:rFonts w:eastAsia="Times New Roman"/>
        </w:rPr>
        <w:t xml:space="preserve">отдел внутреннего контроля и аудита; </w:t>
      </w:r>
      <w:r/>
    </w:p>
    <w:p>
      <w:pPr>
        <w:pStyle w:val="965"/>
        <w:numPr>
          <w:ilvl w:val="0"/>
          <w:numId w:val="23"/>
        </w:numPr>
        <w:pBdr/>
        <w:spacing/>
        <w:ind/>
        <w:jc w:val="left"/>
        <w:rPr>
          <w:rFonts w:eastAsia="Times New Roman"/>
        </w:rPr>
      </w:pPr>
      <w:r>
        <w:rPr>
          <w:rFonts w:eastAsia="Times New Roman"/>
        </w:rPr>
        <w:t xml:space="preserve">режимно-секретный отдел.</w:t>
      </w:r>
      <w:r>
        <w:rPr>
          <w:rFonts w:eastAsia="Times New Roman"/>
        </w:rPr>
      </w:r>
    </w:p>
    <w:p>
      <w:pPr>
        <w:pStyle w:val="968"/>
        <w:pBdr/>
        <w:spacing/>
        <w:ind/>
        <w:rPr/>
      </w:pPr>
      <w:r>
        <w:t xml:space="preserve">ЧАСТЬ 2 ПРАКТИЧЕСКИЕ ЗАДАНИЯ</w:t>
      </w:r>
      <w:r/>
    </w:p>
    <w:p>
      <w:pPr>
        <w:pStyle w:val="965"/>
        <w:pBdr/>
        <w:spacing/>
        <w:ind w:firstLine="0"/>
        <w:outlineLvl w:val="1"/>
        <w:rPr/>
      </w:pPr>
      <w:r>
        <w:t xml:space="preserve">2.1 Расчёт погрешностей измерений</w:t>
      </w:r>
      <w:r/>
    </w:p>
    <w:p>
      <w:pPr>
        <w:pStyle w:val="965"/>
        <w:pBdr/>
        <w:spacing/>
        <w:ind w:firstLine="0"/>
        <w:rPr/>
      </w:pPr>
      <w:r>
        <w:t xml:space="preserve">1.Запись результатов измерений</w:t>
      </w:r>
      <w:r/>
    </w:p>
    <w:p>
      <w:pPr>
        <w:pStyle w:val="965"/>
        <w:pBdr/>
        <w:spacing/>
        <w:ind w:firstLine="0"/>
        <w:rPr/>
      </w:pPr>
      <w:r>
        <w:t xml:space="preserve">Результаты измерений см. в табл.1 </w:t>
      </w:r>
      <w:r/>
    </w:p>
    <w:tbl>
      <w:tblPr>
        <w:tblStyle w:val="973"/>
        <w:tblW w:w="0" w:type="auto"/>
        <w:tblBorders/>
        <w:tblLook w:val="04A0" w:firstRow="1" w:lastRow="0" w:firstColumn="1" w:lastColumn="0" w:noHBand="0" w:noVBand="1"/>
      </w:tblPr>
      <w:tblGrid>
        <w:gridCol w:w="4982"/>
        <w:gridCol w:w="4372"/>
      </w:tblGrid>
      <w:tr>
        <w:trPr/>
        <w:tc>
          <w:tcPr>
            <w:tcBorders/>
            <w:tcW w:w="498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№ измерения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372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Результат, мм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3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3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3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3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8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37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65"/>
        <w:pBdr/>
        <w:spacing/>
        <w:ind w:firstLine="0"/>
        <w:jc w:val="center"/>
        <w:rPr/>
      </w:pPr>
      <w:r>
        <w:t xml:space="preserve">Таблица 1</w:t>
      </w:r>
      <w:r/>
    </w:p>
    <w:p>
      <w:pPr>
        <w:pStyle w:val="965"/>
        <w:pBdr/>
        <w:spacing/>
        <w:ind w:firstLine="0"/>
        <w:rPr/>
      </w:pPr>
      <w:r>
        <w:t xml:space="preserve">2.Расчёт среднего арифметического значения</w:t>
      </w:r>
      <w:r/>
    </w:p>
    <w:p>
      <w:pPr>
        <w:pStyle w:val="965"/>
        <w:pBdr/>
        <w:spacing/>
        <w:ind w:firstLine="0"/>
        <w:rPr/>
      </w:pPr>
      <w:r>
        <w:t xml:space="preserve">85,2+85,4+85,1+85,3+85,5 </w:t>
      </w:r>
      <w:r>
        <w:t xml:space="preserve">/</w:t>
      </w:r>
      <w:r>
        <w:t xml:space="preserve"> 5=85,3 мм</w:t>
      </w:r>
      <w:r/>
    </w:p>
    <w:p>
      <w:pPr>
        <w:pStyle w:val="965"/>
        <w:pBdr/>
        <w:spacing/>
        <w:ind w:firstLine="0"/>
        <w:rPr/>
      </w:pPr>
      <w:r/>
      <w:r/>
    </w:p>
    <w:p>
      <w:pPr>
        <w:pStyle w:val="965"/>
        <w:pBdr/>
        <w:spacing/>
        <w:ind w:firstLine="0"/>
        <w:rPr/>
      </w:pPr>
      <w:r>
        <w:t xml:space="preserve">3.Определение абсолютной погрешности каждого измерения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Абсолютные погрешности для всех пяти измерений:</w:t>
      </w:r>
      <w:r/>
    </w:p>
    <w:p>
      <w:pPr>
        <w:pStyle w:val="965"/>
        <w:pBdr/>
        <w:spacing/>
        <w:ind w:firstLine="0"/>
        <w:rPr/>
      </w:pPr>
      <w:r>
        <w:t xml:space="preserve">Для первого измерения: </w:t>
      </w:r>
      <w:r/>
    </w:p>
    <w:p>
      <w:pPr>
        <w:pStyle w:val="965"/>
        <w:pBdr/>
        <w:spacing/>
        <w:ind w:firstLine="0"/>
        <w:rPr/>
      </w:pPr>
      <w:r>
        <w:t xml:space="preserve">85,2−85,3</w:t>
      </w:r>
      <w:r>
        <w:t xml:space="preserve">=0,1 мм</w:t>
      </w:r>
      <w:r/>
    </w:p>
    <w:p>
      <w:pPr>
        <w:pStyle w:val="965"/>
        <w:pBdr/>
        <w:spacing/>
        <w:ind w:firstLine="0"/>
        <w:rPr/>
      </w:pPr>
      <w:r>
        <w:t xml:space="preserve">Для второго измерения: </w:t>
      </w:r>
      <w:r/>
    </w:p>
    <w:p>
      <w:pPr>
        <w:pStyle w:val="965"/>
        <w:pBdr/>
        <w:spacing/>
        <w:ind w:firstLine="0"/>
        <w:rPr/>
      </w:pPr>
      <w:r>
        <w:t xml:space="preserve">85,4−85,3=0,1 мм</w:t>
      </w:r>
      <w:r/>
    </w:p>
    <w:p>
      <w:pPr>
        <w:pStyle w:val="965"/>
        <w:pBdr/>
        <w:spacing/>
        <w:ind w:firstLine="0"/>
        <w:rPr/>
      </w:pPr>
      <w:r>
        <w:t xml:space="preserve">Для третьего измерения: </w:t>
      </w:r>
      <w:r/>
    </w:p>
    <w:p>
      <w:pPr>
        <w:pStyle w:val="965"/>
        <w:pBdr/>
        <w:spacing/>
        <w:ind w:firstLine="0"/>
        <w:rPr/>
      </w:pPr>
      <w:r>
        <w:t xml:space="preserve">85,1−85,3=0,2 мм</w:t>
      </w:r>
      <w:r/>
    </w:p>
    <w:p>
      <w:pPr>
        <w:pStyle w:val="965"/>
        <w:pBdr/>
        <w:spacing/>
        <w:ind w:firstLine="0"/>
        <w:rPr/>
      </w:pPr>
      <w:r>
        <w:t xml:space="preserve">Для четвёртого измерения: </w:t>
      </w:r>
      <w:r/>
    </w:p>
    <w:p>
      <w:pPr>
        <w:pStyle w:val="965"/>
        <w:pBdr/>
        <w:spacing/>
        <w:ind w:firstLine="0"/>
        <w:rPr/>
      </w:pPr>
      <w:r>
        <w:t xml:space="preserve">85,3−85,3=0 мм</w:t>
      </w:r>
      <w:r/>
    </w:p>
    <w:p>
      <w:pPr>
        <w:pStyle w:val="965"/>
        <w:pBdr/>
        <w:spacing/>
        <w:ind w:firstLine="0"/>
        <w:rPr/>
      </w:pPr>
      <w:r>
        <w:t xml:space="preserve">Для пятого измерения: </w:t>
      </w:r>
      <w:r/>
    </w:p>
    <w:p>
      <w:pPr>
        <w:pStyle w:val="965"/>
        <w:pBdr/>
        <w:spacing/>
        <w:ind w:firstLine="0"/>
        <w:rPr/>
      </w:pPr>
      <w:r>
        <w:t xml:space="preserve">85,5−85,3=0,2 мм</w:t>
      </w:r>
      <w:r/>
    </w:p>
    <w:p>
      <w:pPr>
        <w:pStyle w:val="965"/>
        <w:pBdr/>
        <w:spacing/>
        <w:ind w:firstLine="0"/>
        <w:rPr/>
      </w:pPr>
      <w:r>
        <w:t xml:space="preserve">Абсолютную погрешность см. в табл.2</w:t>
      </w:r>
      <w:r/>
    </w:p>
    <w:tbl>
      <w:tblPr>
        <w:tblStyle w:val="973"/>
        <w:tblW w:w="0" w:type="auto"/>
        <w:tblBorders/>
        <w:tblLook w:val="04A0" w:firstRow="1" w:lastRow="0" w:firstColumn="1" w:lastColumn="0" w:noHBand="0" w:noVBand="1"/>
      </w:tblPr>
      <w:tblGrid>
        <w:gridCol w:w="2381"/>
        <w:gridCol w:w="2407"/>
        <w:gridCol w:w="4566"/>
      </w:tblGrid>
      <w:tr>
        <w:trPr/>
        <w:tc>
          <w:tcPr>
            <w:tcBorders/>
            <w:tcW w:w="2381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№ измерения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0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Результат, мм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6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Абсолютная погрешность, мм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0,1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0,1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0,2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0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85,5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56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0,2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65"/>
        <w:pBdr/>
        <w:spacing/>
        <w:ind w:firstLine="0"/>
        <w:jc w:val="center"/>
        <w:rPr/>
      </w:pPr>
      <w:r>
        <w:t xml:space="preserve">Таблица 2</w:t>
      </w:r>
      <w:r/>
    </w:p>
    <w:p>
      <w:pPr>
        <w:pStyle w:val="965"/>
        <w:pBdr/>
        <w:spacing/>
        <w:ind w:firstLine="0"/>
        <w:rPr/>
      </w:pPr>
      <w:r>
        <w:t xml:space="preserve">4.Расчёт средней квадратической погрешности</w:t>
      </w:r>
      <w:r/>
    </w:p>
    <w:p>
      <w:pPr>
        <w:pStyle w:val="965"/>
        <w:pBdr/>
        <w:spacing/>
        <w:ind w:firstLine="0"/>
        <w:rPr>
          <w:lang w:val="en-US"/>
        </w:rPr>
      </w:pPr>
      <w:r>
        <w:t xml:space="preserve">0,01+0,01+0,04+0+0,04=0,1 </w:t>
      </w:r>
      <w:r>
        <w:rPr>
          <w:lang w:val="en-US"/>
        </w:rPr>
        <w:t xml:space="preserve">/ 5 ≈ 0,141 мм</w:t>
      </w:r>
      <w:r>
        <w:rPr>
          <w:lang w:val="en-US"/>
        </w:rPr>
      </w:r>
    </w:p>
    <w:p>
      <w:pPr>
        <w:pStyle w:val="965"/>
        <w:pBdr/>
        <w:spacing/>
        <w:ind w:firstLine="0"/>
        <w:rPr/>
      </w:pPr>
      <w:r>
        <w:t xml:space="preserve">5.Оформление результата измерения с указанием погрешности</w:t>
      </w:r>
      <w:r/>
    </w:p>
    <w:p>
      <w:pPr>
        <w:pStyle w:val="965"/>
        <w:pBdr/>
        <w:spacing/>
        <w:ind w:firstLine="0"/>
        <w:rPr/>
      </w:pPr>
      <w:r>
        <w:rPr>
          <w:lang w:val="en-US"/>
        </w:rPr>
        <w:t xml:space="preserve">L</w:t>
      </w:r>
      <w:r>
        <w:t xml:space="preserve">=85,3 ± 0,1 м</w:t>
      </w:r>
      <w:r>
        <w:t xml:space="preserve">м</w:t>
      </w:r>
      <w:r/>
    </w:p>
    <w:p>
      <w:pPr>
        <w:pStyle w:val="965"/>
        <w:pBdr/>
        <w:spacing/>
        <w:ind w:firstLine="0"/>
        <w:outlineLvl w:val="1"/>
        <w:rPr/>
      </w:pPr>
      <w:r>
        <w:t xml:space="preserve">2.2 Разработка технических условий</w:t>
      </w:r>
      <w:r/>
    </w:p>
    <w:p>
      <w:pPr>
        <w:pStyle w:val="965"/>
        <w:pBdr/>
        <w:spacing/>
        <w:ind w:firstLine="0"/>
        <w:jc w:val="center"/>
        <w:rPr>
          <w:b/>
          <w:bCs/>
        </w:rPr>
      </w:pPr>
      <w:r>
        <w:rPr>
          <w:b/>
          <w:bCs/>
        </w:rPr>
        <w:t xml:space="preserve">Технические условия на USB-кабель</w:t>
      </w:r>
      <w:r>
        <w:rPr>
          <w:b/>
          <w:bCs/>
        </w:rPr>
      </w:r>
    </w:p>
    <w:p>
      <w:pPr>
        <w:pStyle w:val="965"/>
        <w:pBdr/>
        <w:spacing/>
        <w:ind w:firstLine="0"/>
        <w:rPr/>
      </w:pPr>
      <w:r>
        <w:t xml:space="preserve">Титульный лист</w:t>
      </w:r>
      <w:r/>
    </w:p>
    <w:p>
      <w:pPr>
        <w:pStyle w:val="965"/>
        <w:numPr>
          <w:ilvl w:val="0"/>
          <w:numId w:val="24"/>
        </w:numPr>
        <w:pBdr/>
        <w:spacing/>
        <w:ind/>
        <w:rPr/>
      </w:pPr>
      <w:r>
        <w:t xml:space="preserve">Название: ТУ на USB-кабель модели «XXX»</w:t>
      </w:r>
      <w:r/>
    </w:p>
    <w:p>
      <w:pPr>
        <w:pStyle w:val="965"/>
        <w:numPr>
          <w:ilvl w:val="0"/>
          <w:numId w:val="24"/>
        </w:numPr>
        <w:pBdr/>
        <w:spacing/>
        <w:ind/>
        <w:rPr/>
      </w:pPr>
      <w:r>
        <w:t xml:space="preserve">Разработчик: ООО «Электротехпром»</w:t>
      </w:r>
      <w:r/>
    </w:p>
    <w:p>
      <w:pPr>
        <w:pStyle w:val="965"/>
        <w:numPr>
          <w:ilvl w:val="0"/>
          <w:numId w:val="24"/>
        </w:numPr>
        <w:pBdr/>
        <w:spacing/>
        <w:ind/>
        <w:rPr/>
      </w:pPr>
      <w:r>
        <w:t xml:space="preserve">Утверждено: Главный инженер ООО «Электротехпром»</w:t>
      </w:r>
      <w:r/>
    </w:p>
    <w:p>
      <w:pPr>
        <w:pStyle w:val="965"/>
        <w:pBdr/>
        <w:spacing/>
        <w:ind w:firstLine="0"/>
        <w:rPr/>
      </w:pPr>
      <w:r>
        <w:t xml:space="preserve">Содержание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Общие положения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Назначение изделия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Основные технические характеристики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Комплектность поставки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Марки</w:t>
      </w:r>
      <w:r>
        <w:t xml:space="preserve">ровка, упаковка, транспортировка и хранение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Правила приемки продукции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Методы контроля качества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Гарантии производителя  </w:t>
      </w:r>
      <w:r/>
    </w:p>
    <w:p>
      <w:pPr>
        <w:pStyle w:val="965"/>
        <w:numPr>
          <w:ilvl w:val="0"/>
          <w:numId w:val="25"/>
        </w:numPr>
        <w:pBdr/>
        <w:spacing/>
        <w:ind/>
        <w:rPr/>
      </w:pPr>
      <w:r>
        <w:t xml:space="preserve">Требования безопасности</w:t>
      </w:r>
      <w:r/>
    </w:p>
    <w:p>
      <w:pPr>
        <w:pStyle w:val="965"/>
        <w:pBdr/>
        <w:spacing/>
        <w:ind w:firstLine="0"/>
        <w:rPr/>
      </w:pPr>
      <w:r>
        <w:t xml:space="preserve">1. Общие положения</w:t>
      </w:r>
      <w:r/>
    </w:p>
    <w:p>
      <w:pPr>
        <w:pStyle w:val="965"/>
        <w:numPr>
          <w:ilvl w:val="0"/>
          <w:numId w:val="26"/>
        </w:numPr>
        <w:pBdr/>
        <w:spacing/>
        <w:ind/>
        <w:rPr/>
      </w:pPr>
      <w:r>
        <w:t xml:space="preserve">Настоящие технические условия распространяются на продукцию марки «XXX», представляющую</w:t>
      </w:r>
      <w:r>
        <w:t xml:space="preserve"> собой кабель USB типа A-B длиной 1 метр, предназначенный для передачи данных и зарядки устройств через интерфейс USB.</w:t>
      </w:r>
      <w:r/>
    </w:p>
    <w:p>
      <w:pPr>
        <w:pStyle w:val="965"/>
        <w:numPr>
          <w:ilvl w:val="0"/>
          <w:numId w:val="26"/>
        </w:numPr>
        <w:pBdr/>
        <w:spacing/>
        <w:ind/>
        <w:rPr/>
      </w:pPr>
      <w:r>
        <w:t xml:space="preserve">Изделия изготавливаются серийно и соответствуют требованиям настоящего документа.</w:t>
      </w:r>
      <w:r/>
    </w:p>
    <w:p>
      <w:pPr>
        <w:pStyle w:val="965"/>
        <w:pBdr/>
        <w:spacing/>
        <w:ind w:firstLine="0"/>
        <w:rPr/>
      </w:pPr>
      <w:r>
        <w:t xml:space="preserve">2. Назначение изделия</w:t>
      </w:r>
      <w:r/>
    </w:p>
    <w:p>
      <w:pPr>
        <w:pStyle w:val="965"/>
        <w:numPr>
          <w:ilvl w:val="0"/>
          <w:numId w:val="27"/>
        </w:numPr>
        <w:pBdr/>
        <w:spacing/>
        <w:ind/>
        <w:rPr/>
      </w:pPr>
      <w:r>
        <w:t xml:space="preserve">USB-кабель предназначен для подкл</w:t>
      </w:r>
      <w:r>
        <w:t xml:space="preserve">ючения периферийных устройств (накопителей, принтеров, мобильных телефонов и др.) к компьютерам, ноутбукам и другим устройствам, оснащённым интерфейсом USB.</w:t>
      </w:r>
      <w:r/>
    </w:p>
    <w:p>
      <w:pPr>
        <w:pStyle w:val="965"/>
        <w:numPr>
          <w:ilvl w:val="0"/>
          <w:numId w:val="27"/>
        </w:numPr>
        <w:pBdr/>
        <w:spacing/>
        <w:ind/>
        <w:rPr/>
      </w:pPr>
      <w:r>
        <w:t xml:space="preserve">Кабель обеспечивает передачу данных и зарядку подключённых устройств.</w:t>
      </w:r>
      <w:r/>
    </w:p>
    <w:p>
      <w:pPr>
        <w:pStyle w:val="965"/>
        <w:pBdr/>
        <w:spacing/>
        <w:ind w:firstLine="0"/>
        <w:rPr/>
      </w:pPr>
      <w:r>
        <w:t xml:space="preserve">3. Основные технические характеристики</w:t>
      </w:r>
      <w:r/>
    </w:p>
    <w:p>
      <w:pPr>
        <w:pStyle w:val="965"/>
        <w:numPr>
          <w:ilvl w:val="0"/>
          <w:numId w:val="28"/>
        </w:numPr>
        <w:pBdr/>
        <w:spacing/>
        <w:ind/>
        <w:rPr>
          <w:lang w:val="en-US"/>
        </w:rPr>
      </w:pPr>
      <w:r>
        <w:t xml:space="preserve">Тип</w:t>
      </w:r>
      <w:r>
        <w:rPr>
          <w:lang w:val="en-US"/>
        </w:rPr>
        <w:t xml:space="preserve"> </w:t>
      </w:r>
      <w:r>
        <w:t xml:space="preserve">разъёма</w:t>
      </w:r>
      <w:r>
        <w:rPr>
          <w:lang w:val="en-US"/>
        </w:rPr>
        <w:t xml:space="preserve">: USB Type-A / Micro-USB B  </w:t>
      </w:r>
      <w:r>
        <w:rPr>
          <w:lang w:val="en-US"/>
        </w:rPr>
      </w:r>
    </w:p>
    <w:p>
      <w:pPr>
        <w:pStyle w:val="965"/>
        <w:numPr>
          <w:ilvl w:val="0"/>
          <w:numId w:val="28"/>
        </w:numPr>
        <w:pBdr/>
        <w:spacing/>
        <w:ind/>
        <w:rPr/>
      </w:pPr>
      <w:r>
        <w:t xml:space="preserve">Длина кабеля: 1 м ± 0,05 м  </w:t>
      </w:r>
      <w:r/>
    </w:p>
    <w:p>
      <w:pPr>
        <w:pStyle w:val="965"/>
        <w:numPr>
          <w:ilvl w:val="0"/>
          <w:numId w:val="29"/>
        </w:numPr>
        <w:pBdr/>
        <w:spacing/>
        <w:ind/>
        <w:rPr/>
      </w:pPr>
      <w:r>
        <w:t xml:space="preserve">Материал оболочки: ПВХ  </w:t>
      </w:r>
      <w:r/>
    </w:p>
    <w:p>
      <w:pPr>
        <w:pStyle w:val="965"/>
        <w:numPr>
          <w:ilvl w:val="0"/>
          <w:numId w:val="29"/>
        </w:numPr>
        <w:pBdr/>
        <w:spacing/>
        <w:ind/>
        <w:rPr/>
      </w:pPr>
      <w:r>
        <w:t xml:space="preserve">Цвет оболочки: Чёрный  </w:t>
      </w:r>
      <w:r/>
    </w:p>
    <w:p>
      <w:pPr>
        <w:pStyle w:val="965"/>
        <w:numPr>
          <w:ilvl w:val="0"/>
          <w:numId w:val="29"/>
        </w:numPr>
        <w:pBdr/>
        <w:spacing/>
        <w:ind/>
        <w:rPr/>
      </w:pPr>
      <w:r>
        <w:t xml:space="preserve">Количество жил: 4  </w:t>
      </w:r>
      <w:r/>
    </w:p>
    <w:p>
      <w:pPr>
        <w:pStyle w:val="965"/>
        <w:numPr>
          <w:ilvl w:val="0"/>
          <w:numId w:val="29"/>
        </w:numPr>
        <w:pBdr/>
        <w:spacing/>
        <w:ind/>
        <w:rPr/>
      </w:pPr>
      <w:r>
        <w:t xml:space="preserve">Скорость передачи данных: До 480 Мбит/с  </w:t>
      </w:r>
      <w:r/>
    </w:p>
    <w:p>
      <w:pPr>
        <w:pStyle w:val="965"/>
        <w:numPr>
          <w:ilvl w:val="0"/>
          <w:numId w:val="29"/>
        </w:numPr>
        <w:pBdr/>
        <w:spacing/>
        <w:ind/>
        <w:rPr/>
      </w:pPr>
      <w:r>
        <w:t xml:space="preserve">Максимальная токовая нагрузка: Не менее 2 А  </w:t>
      </w:r>
      <w:r/>
    </w:p>
    <w:p>
      <w:pPr>
        <w:pStyle w:val="965"/>
        <w:numPr>
          <w:ilvl w:val="0"/>
          <w:numId w:val="29"/>
        </w:numPr>
        <w:pBdr/>
        <w:spacing/>
        <w:ind/>
        <w:rPr/>
      </w:pPr>
      <w:r>
        <w:t xml:space="preserve">Рабочая температура эксплуатации: От -20°C до +60°C  </w:t>
      </w:r>
      <w:r/>
    </w:p>
    <w:p>
      <w:pPr>
        <w:pStyle w:val="965"/>
        <w:numPr>
          <w:ilvl w:val="0"/>
          <w:numId w:val="29"/>
        </w:numPr>
        <w:pBdr/>
        <w:spacing/>
        <w:ind/>
        <w:rPr/>
      </w:pPr>
      <w:r>
        <w:t xml:space="preserve">Допустимая влажность воздуха: До 95%  </w:t>
      </w:r>
      <w:r/>
    </w:p>
    <w:p>
      <w:pPr>
        <w:pStyle w:val="965"/>
        <w:numPr>
          <w:ilvl w:val="0"/>
          <w:numId w:val="30"/>
        </w:numPr>
        <w:pBdr/>
        <w:spacing/>
        <w:ind/>
        <w:rPr/>
      </w:pPr>
      <w:r>
        <w:t xml:space="preserve">Срок службы: Не менее 5 лет</w:t>
      </w:r>
      <w:r/>
    </w:p>
    <w:p>
      <w:pPr>
        <w:pStyle w:val="965"/>
        <w:pBdr/>
        <w:spacing/>
        <w:ind w:firstLine="0"/>
        <w:rPr/>
      </w:pPr>
      <w:r>
        <w:t xml:space="preserve">4. Комплектность поставки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При поставке каждая единица товара комплектуется следующей доку</w:t>
      </w:r>
      <w:r>
        <w:t xml:space="preserve">ментацией:</w:t>
      </w:r>
      <w:r/>
    </w:p>
    <w:p>
      <w:pPr>
        <w:pStyle w:val="965"/>
        <w:numPr>
          <w:ilvl w:val="0"/>
          <w:numId w:val="31"/>
        </w:numPr>
        <w:pBdr/>
        <w:spacing/>
        <w:ind/>
        <w:rPr/>
      </w:pPr>
      <w:r>
        <w:t xml:space="preserve">Инструкция по эксплуатации (одна копия на партию);  </w:t>
      </w:r>
      <w:r/>
    </w:p>
    <w:p>
      <w:pPr>
        <w:pStyle w:val="965"/>
        <w:numPr>
          <w:ilvl w:val="0"/>
          <w:numId w:val="31"/>
        </w:numPr>
        <w:pBdr/>
        <w:spacing/>
        <w:ind/>
        <w:rPr/>
      </w:pPr>
      <w:r>
        <w:t xml:space="preserve">Сертификат соответствия стандартам безопасности (при наличии).</w:t>
      </w:r>
      <w:r/>
    </w:p>
    <w:p>
      <w:pPr>
        <w:pStyle w:val="965"/>
        <w:pBdr/>
        <w:spacing/>
        <w:ind w:firstLine="0"/>
        <w:rPr/>
      </w:pPr>
      <w:r>
        <w:t xml:space="preserve">Отдельная упаковка каждого кабеля включает этикетку с наименованием изделия, заводским номером партии и датой изготовления.</w:t>
      </w:r>
      <w:r/>
    </w:p>
    <w:p>
      <w:pPr>
        <w:pStyle w:val="965"/>
        <w:pBdr/>
        <w:spacing/>
        <w:ind w:firstLine="0"/>
        <w:rPr/>
      </w:pPr>
      <w:r>
        <w:t xml:space="preserve">5. Ма</w:t>
      </w:r>
      <w:r>
        <w:t xml:space="preserve">ркировка, упаковка, транспортировка и хранение</w:t>
      </w:r>
      <w:r/>
    </w:p>
    <w:p>
      <w:pPr>
        <w:pStyle w:val="965"/>
        <w:pBdr/>
        <w:spacing/>
        <w:ind w:firstLine="0"/>
        <w:rPr/>
      </w:pPr>
      <w:r>
        <w:t xml:space="preserve">5.1 Маркировка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Каждая единичная продукция должна иметь маркировку, содержащую следующую информацию: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Название предприятия-изготовителя («ООО Электротехпром»)  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Модель изделия («XXX»)  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Год выпуска  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Заводской н</w:t>
      </w:r>
      <w:r>
        <w:t xml:space="preserve">омер серии  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Длина кабеля  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Тип разъема  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Максимальная сила тока  </w:t>
      </w:r>
      <w:r/>
    </w:p>
    <w:p>
      <w:pPr>
        <w:pStyle w:val="965"/>
        <w:numPr>
          <w:ilvl w:val="0"/>
          <w:numId w:val="32"/>
        </w:numPr>
        <w:pBdr/>
        <w:spacing/>
        <w:ind/>
        <w:rPr/>
      </w:pPr>
      <w:r>
        <w:t xml:space="preserve">Скорость передачи данных</w:t>
      </w:r>
      <w:r/>
    </w:p>
    <w:p>
      <w:pPr>
        <w:pStyle w:val="965"/>
        <w:pBdr/>
        <w:spacing/>
        <w:ind w:firstLine="0"/>
        <w:rPr/>
      </w:pPr>
      <w:r>
        <w:t xml:space="preserve">5.2 Упаковка</w:t>
      </w:r>
      <w:r/>
    </w:p>
    <w:p>
      <w:pPr>
        <w:pStyle w:val="965"/>
        <w:numPr>
          <w:ilvl w:val="0"/>
          <w:numId w:val="33"/>
        </w:numPr>
        <w:pBdr/>
        <w:spacing/>
        <w:ind/>
        <w:rPr/>
      </w:pPr>
      <w:r>
        <w:t xml:space="preserve">Каждый кабель упаковывается индивидуально в полиэтиленовую упаковку, обеспечивающую защиту от механических повреждений и загрязнений.</w:t>
      </w:r>
      <w:r/>
    </w:p>
    <w:p>
      <w:pPr>
        <w:pStyle w:val="965"/>
        <w:pBdr/>
        <w:spacing/>
        <w:ind w:firstLine="0"/>
        <w:rPr/>
      </w:pPr>
      <w:r>
        <w:t xml:space="preserve">5.3 Транспортировка</w:t>
      </w:r>
      <w:r/>
    </w:p>
    <w:p>
      <w:pPr>
        <w:pStyle w:val="965"/>
        <w:numPr>
          <w:ilvl w:val="0"/>
          <w:numId w:val="34"/>
        </w:numPr>
        <w:pBdr/>
        <w:spacing/>
        <w:ind/>
        <w:rPr/>
      </w:pPr>
      <w:r>
        <w:t xml:space="preserve">Предусматривается автомобильная доставка изделий транспортными компаниями общего пользования или специализированными перевозчиками.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Условия транспортировки:</w:t>
      </w:r>
      <w:r/>
    </w:p>
    <w:p>
      <w:pPr>
        <w:pStyle w:val="965"/>
        <w:numPr>
          <w:ilvl w:val="0"/>
          <w:numId w:val="35"/>
        </w:numPr>
        <w:pBdr/>
        <w:spacing/>
        <w:ind/>
        <w:rPr/>
      </w:pPr>
      <w:r>
        <w:t xml:space="preserve">Допускается транспортировка любыми видами транспорта при соблюдении требований </w:t>
      </w:r>
      <w:r>
        <w:t xml:space="preserve">защиты груза от влаги и механических воздействий.  </w:t>
      </w:r>
      <w:r/>
    </w:p>
    <w:p>
      <w:pPr>
        <w:pStyle w:val="965"/>
        <w:numPr>
          <w:ilvl w:val="0"/>
          <w:numId w:val="35"/>
        </w:numPr>
        <w:pBdr/>
        <w:spacing/>
        <w:ind/>
        <w:rPr/>
      </w:pPr>
      <w:r>
        <w:t xml:space="preserve">Температура окружающей среды при транспортировке: от -30°C до +50°C.</w:t>
      </w:r>
      <w:r/>
    </w:p>
    <w:p>
      <w:pPr>
        <w:pStyle w:val="965"/>
        <w:pBdr/>
        <w:spacing/>
        <w:ind w:firstLine="0"/>
        <w:rPr/>
      </w:pPr>
      <w:r>
        <w:t xml:space="preserve">5.4 Хранение</w:t>
      </w:r>
      <w:r/>
    </w:p>
    <w:p>
      <w:pPr>
        <w:pStyle w:val="965"/>
        <w:numPr>
          <w:ilvl w:val="0"/>
          <w:numId w:val="36"/>
        </w:numPr>
        <w:pBdr/>
        <w:spacing/>
        <w:ind/>
        <w:rPr/>
      </w:pPr>
      <w:r>
        <w:t xml:space="preserve">Хранение осуществляется в сухих складских помещениях при температуре от +5°C до +35°C и относительной влажности воздуха не</w:t>
      </w:r>
      <w:r>
        <w:t xml:space="preserve"> более 80%.</w:t>
      </w:r>
      <w:r/>
    </w:p>
    <w:p>
      <w:pPr>
        <w:pStyle w:val="965"/>
        <w:pBdr/>
        <w:spacing/>
        <w:ind w:firstLine="0"/>
        <w:rPr/>
      </w:pPr>
      <w:r>
        <w:t xml:space="preserve">6. Правила приемки продукции</w:t>
      </w:r>
      <w:r/>
    </w:p>
    <w:p>
      <w:pPr>
        <w:pStyle w:val="965"/>
        <w:numPr>
          <w:ilvl w:val="0"/>
          <w:numId w:val="37"/>
        </w:numPr>
        <w:pBdr/>
        <w:spacing/>
        <w:ind/>
        <w:rPr/>
      </w:pPr>
      <w:r>
        <w:t xml:space="preserve">Перед отправкой покупателю проводится выборочная проверка каждой партии товаров на предмет внешнего вида, целостности упаковки и наличия необходимой документации.</w:t>
      </w:r>
      <w:r/>
    </w:p>
    <w:p>
      <w:pPr>
        <w:pStyle w:val="965"/>
        <w:numPr>
          <w:ilvl w:val="0"/>
          <w:numId w:val="37"/>
        </w:numPr>
        <w:pBdr/>
        <w:spacing/>
        <w:ind/>
        <w:rPr/>
      </w:pPr>
      <w:r>
        <w:t xml:space="preserve">Партия считается принятой, если доля бракованных еди</w:t>
      </w:r>
      <w:r>
        <w:t xml:space="preserve">ниц составляет не более 1% от общего количества продукции в партии.</w:t>
      </w:r>
      <w:r/>
    </w:p>
    <w:p>
      <w:pPr>
        <w:pStyle w:val="965"/>
        <w:pBdr/>
        <w:spacing/>
        <w:ind w:firstLine="0"/>
        <w:rPr/>
      </w:pPr>
      <w:r>
        <w:t xml:space="preserve">7. Методы контроля качества</w:t>
      </w:r>
      <w:r/>
    </w:p>
    <w:p>
      <w:pPr>
        <w:pStyle w:val="965"/>
        <w:numPr>
          <w:ilvl w:val="0"/>
          <w:numId w:val="39"/>
        </w:numPr>
        <w:pBdr/>
        <w:spacing/>
        <w:ind/>
        <w:rPr/>
      </w:pPr>
      <w:r>
        <w:t xml:space="preserve">Контроль качества производится визуально оператором производства перед упаковкой готовой продукции.</w:t>
      </w:r>
      <w:r/>
    </w:p>
    <w:p>
      <w:pPr>
        <w:pStyle w:val="965"/>
        <w:numPr>
          <w:ilvl w:val="0"/>
          <w:numId w:val="39"/>
        </w:numPr>
        <w:pBdr/>
        <w:spacing/>
        <w:ind/>
        <w:rPr/>
      </w:pPr>
      <w:r>
        <w:t xml:space="preserve">Кроме визуального осмотра проводятся испытания образцов изде</w:t>
      </w:r>
      <w:r>
        <w:t xml:space="preserve">лий методом нагрузки максимальной силой тока и проверки скорости передачи данных.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Основные методы испытаний:</w:t>
      </w:r>
      <w:r/>
    </w:p>
    <w:p>
      <w:pPr>
        <w:pStyle w:val="965"/>
        <w:numPr>
          <w:ilvl w:val="0"/>
          <w:numId w:val="38"/>
        </w:numPr>
        <w:pBdr/>
        <w:spacing/>
        <w:ind/>
        <w:rPr/>
      </w:pPr>
      <w:r>
        <w:t xml:space="preserve">Проверка сопротивления изоляции проводников на пробой напряжения;  </w:t>
      </w:r>
      <w:r/>
    </w:p>
    <w:p>
      <w:pPr>
        <w:pStyle w:val="965"/>
        <w:numPr>
          <w:ilvl w:val="0"/>
          <w:numId w:val="38"/>
        </w:numPr>
        <w:pBdr/>
        <w:spacing/>
        <w:ind/>
        <w:rPr/>
      </w:pPr>
      <w:r>
        <w:t xml:space="preserve">Измерение силы передаваемого тока при полной нагрузке устройства;  </w:t>
      </w:r>
      <w:r/>
    </w:p>
    <w:p>
      <w:pPr>
        <w:pStyle w:val="965"/>
        <w:numPr>
          <w:ilvl w:val="0"/>
          <w:numId w:val="38"/>
        </w:numPr>
        <w:pBdr/>
        <w:spacing/>
        <w:ind/>
        <w:rPr/>
      </w:pPr>
      <w:r>
        <w:t xml:space="preserve">Оценка пропускной способности по данным специальным тестовым приложениям.</w:t>
      </w:r>
      <w:r/>
    </w:p>
    <w:p>
      <w:pPr>
        <w:pStyle w:val="965"/>
        <w:numPr>
          <w:ilvl w:val="0"/>
          <w:numId w:val="38"/>
        </w:numPr>
        <w:pBdr/>
        <w:spacing/>
        <w:ind/>
        <w:rPr/>
      </w:pPr>
      <w:r>
        <w:t xml:space="preserve">Испытания проходят каждый третий образец из партии.</w:t>
      </w:r>
      <w:r/>
    </w:p>
    <w:p>
      <w:pPr>
        <w:pStyle w:val="965"/>
        <w:pBdr/>
        <w:spacing/>
        <w:ind w:firstLine="0"/>
        <w:rPr/>
      </w:pPr>
      <w:r>
        <w:t xml:space="preserve">8. Гарантии производителя</w:t>
      </w:r>
      <w:r/>
    </w:p>
    <w:p>
      <w:pPr>
        <w:pStyle w:val="965"/>
        <w:numPr>
          <w:ilvl w:val="0"/>
          <w:numId w:val="40"/>
        </w:numPr>
        <w:pBdr/>
        <w:spacing/>
        <w:ind/>
        <w:rPr/>
      </w:pPr>
      <w:r>
        <w:t xml:space="preserve">Производитель гарантирует исправность и надёжность изделия при условии соблюдения потребителем инструкци</w:t>
      </w:r>
      <w:r>
        <w:t xml:space="preserve">и по эксплуатации и условий хранения.</w:t>
      </w:r>
      <w:r/>
    </w:p>
    <w:p>
      <w:pPr>
        <w:pStyle w:val="965"/>
        <w:numPr>
          <w:ilvl w:val="0"/>
          <w:numId w:val="40"/>
        </w:numPr>
        <w:pBdr/>
        <w:spacing/>
        <w:ind/>
        <w:rPr/>
      </w:pPr>
      <w:r>
        <w:t xml:space="preserve">Гарантия предоставляется сроком на 12 месяцев с момента продажи изделия.</w:t>
      </w:r>
      <w:r/>
    </w:p>
    <w:p>
      <w:pPr>
        <w:pStyle w:val="965"/>
        <w:pBdr/>
        <w:spacing/>
        <w:ind w:firstLine="0"/>
        <w:rPr/>
      </w:pPr>
      <w:r>
        <w:t xml:space="preserve">9. Требования безопасности</w:t>
      </w:r>
      <w:r/>
    </w:p>
    <w:p>
      <w:pPr>
        <w:pStyle w:val="965"/>
        <w:numPr>
          <w:ilvl w:val="0"/>
          <w:numId w:val="41"/>
        </w:numPr>
        <w:pBdr/>
        <w:spacing/>
        <w:ind/>
        <w:rPr/>
      </w:pPr>
      <w:r>
        <w:t xml:space="preserve">Изделие соответствует нормам электробезопасности и электромагнитной совместимости (ГОСТ Р 51318.22).  </w:t>
      </w:r>
      <w:r/>
    </w:p>
    <w:p>
      <w:pPr>
        <w:pStyle w:val="965"/>
        <w:numPr>
          <w:ilvl w:val="0"/>
          <w:numId w:val="41"/>
        </w:numPr>
        <w:pBdr/>
        <w:spacing/>
        <w:ind/>
        <w:rPr/>
      </w:pPr>
      <w:r>
        <w:t xml:space="preserve">Кабель сертифицирован по международным стандартам USB версии 2.0.  </w:t>
      </w:r>
      <w:r/>
    </w:p>
    <w:p>
      <w:pPr>
        <w:pStyle w:val="965"/>
        <w:numPr>
          <w:ilvl w:val="0"/>
          <w:numId w:val="41"/>
        </w:numPr>
        <w:pBdr/>
        <w:spacing/>
        <w:ind/>
        <w:rPr/>
      </w:pPr>
      <w:r>
        <w:t xml:space="preserve">Не рекомендуется эксплуатация изделия вблизи источников тепла или открытого огня.  </w:t>
      </w:r>
      <w:r/>
    </w:p>
    <w:p>
      <w:pPr>
        <w:pStyle w:val="965"/>
        <w:numPr>
          <w:ilvl w:val="0"/>
          <w:numId w:val="41"/>
        </w:numPr>
        <w:pBdr/>
        <w:spacing/>
        <w:ind/>
        <w:rPr/>
      </w:pPr>
      <w:r>
        <w:t xml:space="preserve">Предотвращать механические повреждения оболочек кабеля, избегать перегибов и натяжений.</w:t>
      </w:r>
      <w:r/>
    </w:p>
    <w:p>
      <w:pPr>
        <w:pStyle w:val="965"/>
        <w:pBdr/>
        <w:spacing/>
        <w:ind w:firstLine="0"/>
        <w:outlineLvl w:val="1"/>
        <w:rPr/>
      </w:pPr>
      <w:r>
        <w:t xml:space="preserve">2.3 Создание п</w:t>
      </w:r>
      <w:r>
        <w:t xml:space="preserve">аспорта изделия</w:t>
      </w:r>
      <w:r/>
    </w:p>
    <w:p>
      <w:pPr>
        <w:pStyle w:val="965"/>
        <w:pBdr/>
        <w:spacing/>
        <w:ind w:firstLine="0"/>
        <w:rPr/>
      </w:pPr>
      <w:r>
        <w:t xml:space="preserve">Наименование изделия:</w:t>
      </w:r>
      <w:r/>
    </w:p>
    <w:p>
      <w:pPr>
        <w:pStyle w:val="965"/>
        <w:numPr>
          <w:ilvl w:val="0"/>
          <w:numId w:val="42"/>
        </w:numPr>
        <w:pBdr/>
        <w:spacing/>
        <w:ind/>
        <w:rPr/>
      </w:pPr>
      <w:r>
        <w:t xml:space="preserve">USB-кабель типа A/B, длина 1 метр</w:t>
      </w:r>
      <w:r/>
    </w:p>
    <w:p>
      <w:pPr>
        <w:pStyle w:val="965"/>
        <w:pBdr/>
        <w:spacing/>
        <w:ind w:firstLine="0"/>
        <w:rPr/>
      </w:pPr>
      <w:r>
        <w:t xml:space="preserve">Заводской номер:</w:t>
      </w:r>
      <w:r/>
    </w:p>
    <w:p>
      <w:pPr>
        <w:pStyle w:val="965"/>
        <w:numPr>
          <w:ilvl w:val="0"/>
          <w:numId w:val="43"/>
        </w:numPr>
        <w:pBdr/>
        <w:spacing/>
        <w:ind/>
        <w:rPr/>
      </w:pPr>
      <w:r>
        <w:t xml:space="preserve">3453-3534-4565</w:t>
      </w:r>
      <w:r/>
    </w:p>
    <w:p>
      <w:pPr>
        <w:pStyle w:val="965"/>
        <w:pBdr/>
        <w:spacing/>
        <w:ind w:firstLine="0"/>
        <w:rPr/>
      </w:pPr>
      <w:r>
        <w:t xml:space="preserve">Дата выпуска:</w:t>
      </w:r>
      <w:r/>
    </w:p>
    <w:p>
      <w:pPr>
        <w:pStyle w:val="965"/>
        <w:numPr>
          <w:ilvl w:val="0"/>
          <w:numId w:val="44"/>
        </w:numPr>
        <w:pBdr/>
        <w:spacing/>
        <w:ind/>
        <w:rPr/>
      </w:pPr>
      <w:r>
        <w:t xml:space="preserve">26.11.2026</w:t>
      </w:r>
      <w:r/>
    </w:p>
    <w:p>
      <w:pPr>
        <w:pStyle w:val="965"/>
        <w:pBdr/>
        <w:spacing/>
        <w:ind w:firstLine="0"/>
        <w:rPr/>
      </w:pPr>
      <w:r>
        <w:t xml:space="preserve">Раздел 1. ТЕХНИЧЕСКИЕ ХАРАКТЕРИСТИКИ</w:t>
      </w:r>
      <w:r/>
    </w:p>
    <w:p>
      <w:pPr>
        <w:pStyle w:val="965"/>
        <w:numPr>
          <w:ilvl w:val="0"/>
          <w:numId w:val="45"/>
        </w:numPr>
        <w:pBdr/>
        <w:spacing/>
        <w:ind/>
        <w:rPr/>
      </w:pPr>
      <w:r>
        <w:t xml:space="preserve">Номинальное напряжение питания: отсутствует (кабель пассивный)</w:t>
      </w:r>
      <w:r/>
    </w:p>
    <w:p>
      <w:pPr>
        <w:pStyle w:val="965"/>
        <w:numPr>
          <w:ilvl w:val="0"/>
          <w:numId w:val="45"/>
        </w:numPr>
        <w:pBdr/>
        <w:spacing/>
        <w:ind/>
        <w:rPr/>
      </w:pPr>
      <w:r>
        <w:t xml:space="preserve">Максимально допустимый ток нагрузки: 2 Ампер</w:t>
      </w:r>
      <w:r/>
    </w:p>
    <w:p>
      <w:pPr>
        <w:pStyle w:val="965"/>
        <w:numPr>
          <w:ilvl w:val="0"/>
          <w:numId w:val="45"/>
        </w:numPr>
        <w:pBdr/>
        <w:spacing/>
        <w:ind/>
        <w:rPr/>
      </w:pPr>
      <w:r>
        <w:t xml:space="preserve">Интерфейс подключения: USB Type-A (разъем штепсельный)/Micro-USB B (гнездовой разъем)</w:t>
      </w:r>
      <w:r/>
    </w:p>
    <w:p>
      <w:pPr>
        <w:pStyle w:val="965"/>
        <w:numPr>
          <w:ilvl w:val="0"/>
          <w:numId w:val="45"/>
        </w:numPr>
        <w:pBdr/>
        <w:spacing/>
        <w:ind/>
        <w:rPr/>
      </w:pPr>
      <w:r>
        <w:t xml:space="preserve">Материал оболочки: поливинилхлорид (ПВХ)</w:t>
      </w:r>
      <w:r/>
    </w:p>
    <w:p>
      <w:pPr>
        <w:pStyle w:val="965"/>
        <w:numPr>
          <w:ilvl w:val="0"/>
          <w:numId w:val="45"/>
        </w:numPr>
        <w:pBdr/>
        <w:spacing/>
        <w:ind/>
        <w:rPr/>
      </w:pPr>
      <w:r>
        <w:t xml:space="preserve">Цвет корпуса: черный матовый</w:t>
      </w:r>
      <w:r/>
    </w:p>
    <w:p>
      <w:pPr>
        <w:pStyle w:val="965"/>
        <w:numPr>
          <w:ilvl w:val="0"/>
          <w:numId w:val="45"/>
        </w:numPr>
        <w:pBdr/>
        <w:spacing/>
        <w:ind/>
        <w:rPr/>
      </w:pPr>
      <w:r>
        <w:t xml:space="preserve">Температурный диапазон эксплуатации: от минус 20°С до п</w:t>
      </w:r>
      <w:r>
        <w:t xml:space="preserve">люс 60°С</w:t>
      </w:r>
      <w:r/>
    </w:p>
    <w:p>
      <w:pPr>
        <w:pStyle w:val="965"/>
        <w:numPr>
          <w:ilvl w:val="0"/>
          <w:numId w:val="45"/>
        </w:numPr>
        <w:pBdr/>
        <w:spacing/>
        <w:ind/>
        <w:rPr/>
      </w:pPr>
      <w:r>
        <w:t xml:space="preserve">Срок службы: не менее 5 лет при нормальных условиях эксплуатации</w:t>
      </w:r>
      <w:r/>
    </w:p>
    <w:p>
      <w:pPr>
        <w:pStyle w:val="965"/>
        <w:pBdr/>
        <w:spacing/>
        <w:ind w:firstLine="0"/>
        <w:rPr/>
      </w:pPr>
      <w:r>
        <w:t xml:space="preserve">Раздел 2. КОМПЛЕКТНОСТЬ</w:t>
      </w:r>
      <w:r/>
    </w:p>
    <w:p>
      <w:pPr>
        <w:pStyle w:val="965"/>
        <w:pBdr/>
        <w:spacing/>
        <w:ind w:firstLine="0"/>
        <w:rPr/>
      </w:pPr>
      <w:r>
        <w:t xml:space="preserve">Изделие поставляется вместе с сопроводительными документами:</w:t>
      </w:r>
      <w:r/>
    </w:p>
    <w:p>
      <w:pPr>
        <w:pStyle w:val="965"/>
        <w:numPr>
          <w:ilvl w:val="0"/>
          <w:numId w:val="46"/>
        </w:numPr>
        <w:pBdr/>
        <w:spacing/>
        <w:ind/>
        <w:rPr/>
      </w:pPr>
      <w:r>
        <w:t xml:space="preserve">Инструкция по эксплуатации</w:t>
      </w:r>
      <w:r/>
    </w:p>
    <w:p>
      <w:pPr>
        <w:pStyle w:val="965"/>
        <w:numPr>
          <w:ilvl w:val="0"/>
          <w:numId w:val="46"/>
        </w:numPr>
        <w:pBdr/>
        <w:spacing/>
        <w:ind/>
        <w:rPr/>
      </w:pPr>
      <w:r>
        <w:t xml:space="preserve">Сертификат соответствия (при наличии)</w:t>
      </w:r>
      <w:r/>
    </w:p>
    <w:p>
      <w:pPr>
        <w:pStyle w:val="965"/>
        <w:pBdr/>
        <w:spacing/>
        <w:ind w:firstLine="0"/>
        <w:rPr/>
      </w:pPr>
      <w:r>
        <w:t xml:space="preserve">Упаковано отдельно:</w:t>
      </w:r>
      <w:r/>
    </w:p>
    <w:p>
      <w:pPr>
        <w:pStyle w:val="965"/>
        <w:numPr>
          <w:ilvl w:val="0"/>
          <w:numId w:val="47"/>
        </w:numPr>
        <w:pBdr/>
        <w:spacing/>
        <w:ind/>
        <w:rPr/>
      </w:pPr>
      <w:r>
        <w:t xml:space="preserve">Индивидуальн</w:t>
      </w:r>
      <w:r>
        <w:t xml:space="preserve">ая пластиковая упаковка с маркировкой завода-изготовителя и характеристиками изделия</w:t>
      </w:r>
      <w:r/>
    </w:p>
    <w:p>
      <w:pPr>
        <w:pStyle w:val="965"/>
        <w:pBdr/>
        <w:spacing/>
        <w:ind w:firstLine="0"/>
        <w:rPr/>
      </w:pPr>
      <w:r>
        <w:t xml:space="preserve">Раздел 3. СВИДЕТЕЛЬСТВО О ПРИЁМКЕ</w:t>
      </w:r>
      <w:r/>
    </w:p>
    <w:p>
      <w:pPr>
        <w:pStyle w:val="965"/>
        <w:numPr>
          <w:ilvl w:val="0"/>
          <w:numId w:val="48"/>
        </w:numPr>
        <w:pBdr/>
        <w:spacing/>
        <w:ind/>
        <w:rPr/>
      </w:pPr>
      <w:r>
        <w:t xml:space="preserve">Продукция прошла контроль качества и признана соответствующей техническим условиям и государственным стандартам.</w:t>
      </w:r>
      <w:r/>
    </w:p>
    <w:p>
      <w:pPr>
        <w:pStyle w:val="965"/>
        <w:numPr>
          <w:ilvl w:val="0"/>
          <w:numId w:val="48"/>
        </w:numPr>
        <w:pBdr/>
        <w:spacing/>
        <w:ind/>
        <w:rPr/>
      </w:pPr>
      <w:r>
        <w:t xml:space="preserve">Изделие допущено к реали</w:t>
      </w:r>
      <w:r>
        <w:t xml:space="preserve">зации и применению по назначению.</w:t>
      </w:r>
      <w:r/>
    </w:p>
    <w:p>
      <w:pPr>
        <w:pStyle w:val="965"/>
        <w:numPr>
          <w:ilvl w:val="0"/>
          <w:numId w:val="48"/>
        </w:numPr>
        <w:pBdr/>
        <w:spacing/>
        <w:ind/>
        <w:rPr/>
      </w:pPr>
      <w:r>
        <w:t xml:space="preserve">Главный контролёр отдела технического контроля:ФИО (подпись)</w:t>
      </w:r>
      <w:r/>
    </w:p>
    <w:p>
      <w:pPr>
        <w:pStyle w:val="965"/>
        <w:numPr>
          <w:ilvl w:val="0"/>
          <w:numId w:val="48"/>
        </w:numPr>
        <w:pBdr/>
        <w:spacing/>
        <w:ind/>
        <w:rPr/>
      </w:pPr>
      <w:r>
        <w:t xml:space="preserve">Дата: ДД.ММ.ГГГГ</w:t>
      </w:r>
      <w:r/>
    </w:p>
    <w:p>
      <w:pPr>
        <w:pStyle w:val="965"/>
        <w:pBdr/>
        <w:spacing/>
        <w:ind w:firstLine="0"/>
        <w:rPr/>
      </w:pPr>
      <w:r>
        <w:t xml:space="preserve">Раздел 4. ГАРАНТИЙНЫЕ ОБЯЗАТЕЛЬСТВА</w:t>
      </w:r>
      <w:r/>
    </w:p>
    <w:p>
      <w:pPr>
        <w:pStyle w:val="965"/>
        <w:numPr>
          <w:ilvl w:val="0"/>
          <w:numId w:val="49"/>
        </w:numPr>
        <w:pBdr/>
        <w:spacing/>
        <w:ind/>
        <w:rPr/>
      </w:pPr>
      <w:r>
        <w:t xml:space="preserve">Изготовитель гарантирует работоспособность изделия в течение гарантийного срока продолжительностью 12 месяце</w:t>
      </w:r>
      <w:r>
        <w:t xml:space="preserve">в с момента приобретения конечным покупателем при соблюдении условий эксплуатации и рекомендаций, указанных в паспорте и инструкции по эксплуатации. </w:t>
      </w:r>
      <w:r/>
    </w:p>
    <w:p>
      <w:pPr>
        <w:pStyle w:val="965"/>
        <w:numPr>
          <w:ilvl w:val="0"/>
          <w:numId w:val="49"/>
        </w:numPr>
        <w:pBdr/>
        <w:spacing/>
        <w:ind/>
        <w:rPr/>
      </w:pPr>
      <w:r>
        <w:t xml:space="preserve">При выявлении дефектов производственного характера покупатель имеет право обратиться в сервисный центр про</w:t>
      </w:r>
      <w:r>
        <w:t xml:space="preserve">давца либо непосредственно к производителю.</w:t>
      </w:r>
      <w:r/>
    </w:p>
    <w:p>
      <w:pPr>
        <w:pStyle w:val="965"/>
        <w:numPr>
          <w:ilvl w:val="0"/>
          <w:numId w:val="49"/>
        </w:numPr>
        <w:pBdr/>
        <w:spacing/>
        <w:ind/>
        <w:rPr/>
      </w:pPr>
      <w:r>
        <w:t xml:space="preserve">Адрес производителя: г. Благовещенск, ул. Чайковского, д. 87</w:t>
      </w:r>
      <w:r/>
    </w:p>
    <w:p>
      <w:pPr>
        <w:pStyle w:val="965"/>
        <w:numPr>
          <w:ilvl w:val="0"/>
          <w:numId w:val="49"/>
        </w:numPr>
        <w:pBdr/>
        <w:spacing/>
        <w:ind/>
        <w:rPr/>
      </w:pPr>
      <w:r>
        <w:t xml:space="preserve">Телефон горячей линии поддержки клиентов: +7 (XXX) XXX-XX-XX</w:t>
      </w:r>
      <w:r/>
    </w:p>
    <w:p>
      <w:pPr>
        <w:pStyle w:val="965"/>
        <w:numPr>
          <w:ilvl w:val="0"/>
          <w:numId w:val="49"/>
        </w:numPr>
        <w:pBdr/>
        <w:spacing/>
        <w:ind/>
        <w:rPr/>
      </w:pPr>
      <w:r>
        <w:t xml:space="preserve">Электронная почта технической поддержки: support@example.ru</w:t>
      </w:r>
      <w:r/>
    </w:p>
    <w:p>
      <w:pPr>
        <w:pStyle w:val="965"/>
        <w:pBdr/>
        <w:spacing/>
        <w:ind w:firstLine="0"/>
        <w:rPr/>
      </w:pPr>
      <w:r>
        <w:t xml:space="preserve">Раздел 5. СВЕДЕНИЯ О КОНСЕРВАЦИИ И УПАКОВКЕ</w:t>
      </w:r>
      <w:r/>
    </w:p>
    <w:p>
      <w:pPr>
        <w:pStyle w:val="965"/>
        <w:numPr>
          <w:ilvl w:val="0"/>
          <w:numId w:val="50"/>
        </w:numPr>
        <w:pBdr/>
        <w:spacing/>
        <w:ind/>
        <w:rPr/>
      </w:pPr>
      <w:r>
        <w:t xml:space="preserve">Кабели защищены индивидуальной герметичной упаковкой из полиэтилена, исключающей воздействие неблагоприятных факторов внешней среды (сырость, пыль, механическое повреждение).</w:t>
      </w:r>
      <w:r/>
    </w:p>
    <w:p>
      <w:pPr>
        <w:pStyle w:val="965"/>
        <w:numPr>
          <w:ilvl w:val="0"/>
          <w:numId w:val="50"/>
        </w:numPr>
        <w:pBdr/>
        <w:spacing/>
        <w:ind/>
        <w:rPr/>
      </w:pPr>
      <w:r>
        <w:t xml:space="preserve">Консервационные покрытия отсутствуют </w:t>
      </w:r>
      <w:r>
        <w:t xml:space="preserve">ввиду особенностей конструкции изделия.</w:t>
      </w:r>
      <w:r/>
    </w:p>
    <w:p>
      <w:pPr>
        <w:pStyle w:val="965"/>
        <w:pBdr/>
        <w:spacing/>
        <w:ind w:firstLine="0"/>
        <w:rPr/>
      </w:pPr>
      <w:r>
        <w:t xml:space="preserve">Раздел 6. ОТМЕТКИ О РЕМОНТЕ И ТЕХНИЧЕСКОМ ОБСЛУЖИВАНИИ</w:t>
      </w:r>
      <w:r/>
    </w:p>
    <w:p>
      <w:pPr>
        <w:pStyle w:val="965"/>
        <w:numPr>
          <w:ilvl w:val="0"/>
          <w:numId w:val="51"/>
        </w:numPr>
        <w:pBdr/>
        <w:spacing/>
        <w:ind/>
        <w:rPr/>
      </w:pPr>
      <w:r>
        <w:t xml:space="preserve">До настоящего времени техническое обслуживание и ремонт изделия не проводились.</w:t>
      </w:r>
      <w:r/>
    </w:p>
    <w:p>
      <w:pPr>
        <w:pStyle w:val="965"/>
        <w:pBdr/>
        <w:spacing/>
        <w:ind w:firstLine="0"/>
        <w:outlineLvl w:val="1"/>
        <w:rPr/>
      </w:pPr>
      <w:r>
        <w:t xml:space="preserve">2.4 </w:t>
      </w:r>
      <w:r>
        <w:t xml:space="preserve">Анализ системы менеджмента качества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Схема документооборота СМК</w:t>
      </w:r>
      <w:r/>
    </w:p>
    <w:p>
      <w:pPr>
        <w:pStyle w:val="965"/>
        <w:pBdr/>
        <w:spacing/>
        <w:ind w:firstLine="0"/>
        <w:rPr/>
      </w:pPr>
      <w:r>
        <w:t xml:space="preserve">Руководство по качеству → Регламент процедур → Рабочие инструкции → Записи о выполнении операций → Отчеты мониторинга → Аналитические отчеты → Протоколы совещаний → Заключительные протоколы аудитов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Перечень процессов организации</w:t>
      </w:r>
      <w:r/>
    </w:p>
    <w:p>
      <w:pPr>
        <w:pStyle w:val="965"/>
        <w:pBdr/>
        <w:spacing/>
        <w:ind w:firstLine="0"/>
        <w:jc w:val="left"/>
        <w:rPr/>
      </w:pPr>
      <w:r>
        <w:t xml:space="preserve">Перечень процессов организации</w:t>
      </w:r>
      <w:r>
        <w:t xml:space="preserve"> см. в табл.3</w:t>
      </w:r>
      <w:r/>
    </w:p>
    <w:tbl>
      <w:tblPr>
        <w:tblStyle w:val="973"/>
        <w:tblW w:w="9157" w:type="dxa"/>
        <w:tblBorders/>
        <w:tblLook w:val="04A0" w:firstRow="1" w:lastRow="0" w:firstColumn="1" w:lastColumn="0" w:noHBand="0" w:noVBand="1"/>
      </w:tblPr>
      <w:tblGrid>
        <w:gridCol w:w="1261"/>
        <w:gridCol w:w="7896"/>
      </w:tblGrid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Процесс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Планирование продукции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Производство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Контроль качества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Складские операции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Учет и отчетность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Подготовка кадров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Развитие инноваций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Внешняя коммуникация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965"/>
        <w:pBdr/>
        <w:spacing/>
        <w:ind w:firstLine="0"/>
        <w:jc w:val="center"/>
        <w:rPr/>
      </w:pPr>
      <w:r>
        <w:t xml:space="preserve">Таблица 3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Матрица соответствия </w:t>
      </w:r>
      <w:r/>
    </w:p>
    <w:p>
      <w:pPr>
        <w:pStyle w:val="965"/>
        <w:pBdr/>
        <w:spacing/>
        <w:ind w:firstLine="0"/>
        <w:jc w:val="left"/>
        <w:rPr/>
      </w:pPr>
      <w:r>
        <w:t xml:space="preserve">Матрицу соответствия см. в табл.4</w:t>
      </w:r>
      <w:r/>
    </w:p>
    <w:tbl>
      <w:tblPr>
        <w:tblStyle w:val="973"/>
        <w:tblW w:w="9181" w:type="dxa"/>
        <w:tblBorders/>
        <w:tblLook w:val="04A0" w:firstRow="1" w:lastRow="0" w:firstColumn="1" w:lastColumn="0" w:noHBand="0" w:noVBand="1"/>
      </w:tblPr>
      <w:tblGrid>
        <w:gridCol w:w="1631"/>
        <w:gridCol w:w="1589"/>
        <w:gridCol w:w="2059"/>
        <w:gridCol w:w="2031"/>
        <w:gridCol w:w="1871"/>
      </w:tblGrid>
      <w:tr>
        <w:trPr>
          <w:trHeight w:val="45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Функция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Директор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Менеджеры отделов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Специалисты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Исполнители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45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Разработка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Утверждение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Координация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Составление документации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Выполнение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Согласование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Одобрение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Оценка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Проведение консультаций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Проверка результатов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58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Контроль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Надзор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Осуществление контроля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Реализация мероприятий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974"/>
                <w:rFonts w:ascii="Times New Roman" w:hAnsi="Times New Roman" w:cs="Times New Roman"/>
                <w:sz w:val="24"/>
                <w:szCs w:val="24"/>
              </w:rPr>
              <w:t xml:space="preserve">Фиксация отклонений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65"/>
        <w:pBdr/>
        <w:spacing/>
        <w:ind w:firstLine="0" w:left="360"/>
        <w:jc w:val="center"/>
        <w:rPr/>
      </w:pPr>
      <w:r>
        <w:t xml:space="preserve">Таблица 4</w:t>
      </w:r>
      <w:r/>
    </w:p>
    <w:p>
      <w:pPr>
        <w:pBdr/>
        <w:shd w:val="clear" w:color="auto" w:fill="ffffff"/>
        <w:spacing w:after="100" w:afterAutospacing="1" w:before="60" w:line="240" w:lineRule="auto"/>
        <w:ind w:left="720"/>
        <w:jc w:val="center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  <w:t xml:space="preserve">План внутреннего аудита (на квартал)</w:t>
      </w:r>
      <w:r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r>
    </w:p>
    <w:p>
      <w:pPr>
        <w:pBdr/>
        <w:shd w:val="clear" w:color="auto" w:fill="ffffff"/>
        <w:spacing w:after="100" w:afterAutospacing="1" w:before="60" w:line="240" w:lineRule="auto"/>
        <w:ind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  <w:t xml:space="preserve">См. план внутреннего аудита в табл.5</w:t>
      </w:r>
      <w:r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r>
    </w:p>
    <w:tbl>
      <w:tblPr>
        <w:tblStyle w:val="973"/>
        <w:tblW w:w="9190" w:type="dxa"/>
        <w:tblBorders/>
        <w:tblLook w:val="04A0" w:firstRow="1" w:lastRow="0" w:firstColumn="1" w:lastColumn="0" w:noHBand="0" w:noVBand="1"/>
      </w:tblPr>
      <w:tblGrid>
        <w:gridCol w:w="1310"/>
        <w:gridCol w:w="4421"/>
        <w:gridCol w:w="3459"/>
      </w:tblGrid>
      <w:tr>
        <w:trPr>
          <w:trHeight w:val="269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Период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Объект аудита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Ответственный аудитор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</w:tr>
      <w:tr>
        <w:trPr>
          <w:trHeight w:val="269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Январь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Производственные процессы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Иванов И.И.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</w:tr>
      <w:tr>
        <w:trPr>
          <w:trHeight w:val="252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Февраль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Система закупок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Петров П.П.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</w:tr>
      <w:tr>
        <w:trPr>
          <w:trHeight w:val="269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Март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Качество обслуживания клиентов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Сидоров С.С.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</w:tr>
    </w:tbl>
    <w:p>
      <w:pPr>
        <w:pStyle w:val="965"/>
        <w:pBdr/>
        <w:spacing/>
        <w:ind w:firstLine="0"/>
        <w:jc w:val="center"/>
        <w:rPr/>
      </w:pPr>
      <w:r>
        <w:t xml:space="preserve">Таблица 5</w:t>
      </w:r>
      <w:r/>
    </w:p>
    <w:p>
      <w:pPr>
        <w:pStyle w:val="965"/>
        <w:pBdr/>
        <w:spacing/>
        <w:ind w:firstLine="0"/>
        <w:jc w:val="center"/>
        <w:rPr/>
      </w:pPr>
      <w:r>
        <w:t xml:space="preserve">Форма</w:t>
      </w:r>
      <w:r>
        <w:t xml:space="preserve"> корректирующих и предупреждающих действий</w:t>
      </w:r>
      <w:r/>
    </w:p>
    <w:p>
      <w:pPr>
        <w:pStyle w:val="965"/>
        <w:pBdr/>
        <w:spacing/>
        <w:ind w:firstLine="0"/>
        <w:jc w:val="left"/>
        <w:rPr/>
      </w:pPr>
      <w:r>
        <w:t xml:space="preserve">См.</w:t>
      </w:r>
      <w:r>
        <w:t xml:space="preserve"> Форму корректирующих и предупреждающих действий</w:t>
      </w:r>
      <w:r>
        <w:t xml:space="preserve"> в табл.6</w:t>
      </w:r>
      <w:r/>
    </w:p>
    <w:tbl>
      <w:tblPr>
        <w:tblStyle w:val="973"/>
        <w:tblW w:w="9699" w:type="dxa"/>
        <w:tblBorders/>
        <w:tblLook w:val="04A0" w:firstRow="1" w:lastRow="0" w:firstColumn="1" w:lastColumn="0" w:noHBand="0" w:noVBand="1"/>
      </w:tblPr>
      <w:tblGrid>
        <w:gridCol w:w="924"/>
        <w:gridCol w:w="1396"/>
        <w:gridCol w:w="1280"/>
        <w:gridCol w:w="1449"/>
        <w:gridCol w:w="1810"/>
        <w:gridCol w:w="1455"/>
        <w:gridCol w:w="1774"/>
      </w:tblGrid>
      <w:tr>
        <w:trPr>
          <w:trHeight w:val="449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Номер записи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Дата выявления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Описание проблемы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Причина отклонения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Предложенные меры устранения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Срок исполнения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  <w:t xml:space="preserve">Ответственное лицо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ru-RU"/>
              </w:rPr>
            </w:r>
          </w:p>
        </w:tc>
      </w:tr>
      <w:tr>
        <w:trPr>
          <w:trHeight w:val="435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КД-001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10.01.2025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Низкое качество материала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Нарушение процесса закупки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Пересмотр поставщиков сырья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30.01.2025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  <w:t xml:space="preserve">Иванова Т.А.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  <w:lang w:eastAsia="ru-RU"/>
              </w:rPr>
            </w:r>
          </w:p>
        </w:tc>
      </w:tr>
    </w:tbl>
    <w:p>
      <w:pPr>
        <w:pStyle w:val="965"/>
        <w:pBdr/>
        <w:spacing/>
        <w:ind w:firstLine="0"/>
        <w:jc w:val="center"/>
        <w:rPr/>
      </w:pPr>
      <w:r>
        <w:t xml:space="preserve">Таблица 6</w:t>
      </w:r>
      <w:r/>
    </w:p>
    <w:p>
      <w:pPr>
        <w:pStyle w:val="968"/>
        <w:pBdr/>
        <w:spacing/>
        <w:ind/>
        <w:rPr/>
      </w:pPr>
      <w:r>
        <w:t xml:space="preserve">ЧАСТЬ 3 КОНТРОЛЬНОЕ ЗАДАНИЕ</w:t>
      </w:r>
      <w:r/>
    </w:p>
    <w:p>
      <w:pPr>
        <w:pStyle w:val="965"/>
        <w:pBdr/>
        <w:spacing/>
        <w:ind w:firstLine="0"/>
        <w:outlineLvl w:val="1"/>
        <w:rPr/>
      </w:pPr>
      <w:r>
        <w:t xml:space="preserve">3.1 </w:t>
      </w:r>
      <w:r>
        <w:t xml:space="preserve">Тестирование</w:t>
      </w:r>
      <w:r/>
    </w:p>
    <w:p>
      <w:pPr>
        <w:pStyle w:val="965"/>
        <w:numPr>
          <w:ilvl w:val="0"/>
          <w:numId w:val="56"/>
        </w:numPr>
        <w:pBdr/>
        <w:spacing/>
        <w:ind/>
        <w:rPr/>
      </w:pPr>
      <w:r>
        <w:t xml:space="preserve">Метрология – это наука о:</w:t>
      </w:r>
      <w:r/>
    </w:p>
    <w:p>
      <w:pPr>
        <w:pStyle w:val="965"/>
        <w:pBdr/>
        <w:spacing/>
        <w:ind/>
        <w:rPr/>
      </w:pPr>
      <w:r>
        <w:rPr>
          <w:highlight w:val="yellow"/>
        </w:rPr>
        <w:t xml:space="preserve">а) Измерениях и способах обеспечения их единства</w:t>
      </w:r>
      <w:r/>
    </w:p>
    <w:p>
      <w:pPr>
        <w:pStyle w:val="965"/>
        <w:pBdr/>
        <w:spacing/>
        <w:ind/>
        <w:rPr/>
      </w:pPr>
      <w:r>
        <w:t xml:space="preserve">б) Стандартизации продукции</w:t>
      </w:r>
      <w:r/>
    </w:p>
    <w:p>
      <w:pPr>
        <w:pStyle w:val="965"/>
        <w:pBdr/>
        <w:spacing/>
        <w:ind/>
        <w:rPr/>
      </w:pPr>
      <w:r>
        <w:t xml:space="preserve">в) Контроле качества</w:t>
      </w:r>
      <w:r/>
    </w:p>
    <w:p>
      <w:pPr>
        <w:pStyle w:val="965"/>
        <w:numPr>
          <w:ilvl w:val="0"/>
          <w:numId w:val="56"/>
        </w:numPr>
        <w:pBdr/>
        <w:spacing/>
        <w:ind/>
        <w:rPr/>
      </w:pPr>
      <w:r>
        <w:t xml:space="preserve">Стандарт ISO 9001 регламентирует:</w:t>
      </w:r>
      <w:r/>
    </w:p>
    <w:p>
      <w:pPr>
        <w:pStyle w:val="965"/>
        <w:pBdr/>
        <w:spacing/>
        <w:ind/>
        <w:rPr/>
      </w:pPr>
      <w:r>
        <w:t xml:space="preserve">а) Экологический менеджмент</w:t>
      </w:r>
      <w:r/>
    </w:p>
    <w:p>
      <w:pPr>
        <w:pStyle w:val="965"/>
        <w:pBdr/>
        <w:spacing/>
        <w:ind/>
        <w:rPr/>
      </w:pPr>
      <w:r>
        <w:rPr>
          <w:highlight w:val="yellow"/>
        </w:rPr>
        <w:t xml:space="preserve">б) Систему менеджмента качества</w:t>
      </w:r>
      <w:r/>
    </w:p>
    <w:p>
      <w:pPr>
        <w:pStyle w:val="965"/>
        <w:pBdr/>
        <w:spacing/>
        <w:ind/>
        <w:rPr/>
      </w:pPr>
      <w:r>
        <w:t xml:space="preserve">в) Информационную безопасность</w:t>
      </w:r>
      <w:r/>
    </w:p>
    <w:p>
      <w:pPr>
        <w:pStyle w:val="965"/>
        <w:numPr>
          <w:ilvl w:val="0"/>
          <w:numId w:val="56"/>
        </w:numPr>
        <w:pBdr/>
        <w:spacing/>
        <w:ind/>
        <w:rPr/>
      </w:pPr>
      <w:r>
        <w:t xml:space="preserve">Технический регламент устанавливает:</w:t>
      </w:r>
      <w:r/>
    </w:p>
    <w:p>
      <w:pPr>
        <w:pStyle w:val="965"/>
        <w:pBdr/>
        <w:spacing/>
        <w:ind/>
        <w:rPr/>
      </w:pPr>
      <w:r>
        <w:t xml:space="preserve">а) Рекомендации по производству</w:t>
      </w:r>
      <w:r/>
    </w:p>
    <w:p>
      <w:pPr>
        <w:pStyle w:val="965"/>
        <w:pBdr/>
        <w:spacing/>
        <w:ind/>
        <w:rPr/>
      </w:pPr>
      <w:r>
        <w:rPr>
          <w:highlight w:val="yellow"/>
        </w:rPr>
        <w:t xml:space="preserve">б) Обязательные требования к продукции</w:t>
      </w:r>
      <w:r/>
    </w:p>
    <w:p>
      <w:pPr>
        <w:pStyle w:val="965"/>
        <w:pBdr/>
        <w:spacing/>
        <w:ind/>
        <w:rPr/>
      </w:pPr>
      <w:r>
        <w:t xml:space="preserve">в) Добровольные стандарты</w:t>
      </w:r>
      <w:r/>
    </w:p>
    <w:p>
      <w:pPr>
        <w:pStyle w:val="965"/>
        <w:numPr>
          <w:ilvl w:val="0"/>
          <w:numId w:val="56"/>
        </w:numPr>
        <w:pBdr/>
        <w:spacing/>
        <w:ind/>
        <w:rPr/>
      </w:pPr>
      <w:r>
        <w:t xml:space="preserve">Поверка средств измерений проводится с целью:</w:t>
      </w:r>
      <w:r/>
    </w:p>
    <w:p>
      <w:pPr>
        <w:pStyle w:val="965"/>
        <w:pBdr/>
        <w:spacing/>
        <w:ind/>
        <w:rPr/>
      </w:pPr>
      <w:r>
        <w:t xml:space="preserve">а) Определения стоимости прибора</w:t>
      </w:r>
      <w:r/>
    </w:p>
    <w:p>
      <w:pPr>
        <w:pStyle w:val="965"/>
        <w:pBdr/>
        <w:spacing/>
        <w:ind/>
        <w:rPr/>
      </w:pPr>
      <w:r>
        <w:rPr>
          <w:highlight w:val="yellow"/>
        </w:rPr>
        <w:t xml:space="preserve">б) Подтверждения соответствия метрологическим требованиям</w:t>
      </w:r>
      <w:r/>
    </w:p>
    <w:p>
      <w:pPr>
        <w:pStyle w:val="965"/>
        <w:pBdr/>
        <w:spacing/>
        <w:ind/>
        <w:rPr/>
      </w:pPr>
      <w:r>
        <w:t xml:space="preserve">в) Ремонта измерительного оборудования</w:t>
      </w:r>
      <w:r/>
    </w:p>
    <w:p>
      <w:pPr>
        <w:pStyle w:val="965"/>
        <w:numPr>
          <w:ilvl w:val="0"/>
          <w:numId w:val="56"/>
        </w:numPr>
        <w:pBdr/>
        <w:spacing/>
        <w:ind/>
        <w:rPr/>
      </w:pPr>
      <w:r>
        <w:t xml:space="preserve">PDCA – это:</w:t>
      </w:r>
      <w:r/>
    </w:p>
    <w:p>
      <w:pPr>
        <w:pStyle w:val="965"/>
        <w:pBdr/>
        <w:spacing/>
        <w:ind/>
        <w:rPr/>
      </w:pPr>
      <w:r>
        <w:t xml:space="preserve">а) Система документооборота</w:t>
      </w:r>
      <w:r/>
    </w:p>
    <w:p>
      <w:pPr>
        <w:pStyle w:val="965"/>
        <w:pBdr/>
        <w:spacing/>
        <w:ind/>
        <w:rPr/>
      </w:pPr>
      <w:r>
        <w:rPr>
          <w:highlight w:val="yellow"/>
        </w:rPr>
        <w:t xml:space="preserve">б) Цикл пост</w:t>
      </w:r>
      <w:r>
        <w:rPr>
          <w:highlight w:val="yellow"/>
        </w:rPr>
        <w:t xml:space="preserve">оянного улучшения</w:t>
      </w:r>
      <w:r/>
    </w:p>
    <w:p>
      <w:pPr>
        <w:pStyle w:val="965"/>
        <w:pBdr/>
        <w:spacing/>
        <w:ind/>
        <w:rPr/>
      </w:pPr>
      <w:r>
        <w:t xml:space="preserve">в) Метод контроля качества</w:t>
      </w:r>
      <w:r/>
    </w:p>
    <w:p>
      <w:pPr>
        <w:pStyle w:val="965"/>
        <w:pBdr/>
        <w:spacing/>
        <w:ind w:firstLine="0"/>
        <w:outlineLvl w:val="1"/>
        <w:rPr>
          <w:highlight w:val="none"/>
        </w:rPr>
      </w:pPr>
      <w:r>
        <w:t xml:space="preserve">3.2 Практическая работа</w:t>
      </w:r>
      <w:bookmarkStart w:id="0" w:name="_GoBack"/>
      <w:r/>
      <w:bookmarkEnd w:id="0"/>
      <w:r/>
      <w:r/>
    </w:p>
    <w:p>
      <w:pPr>
        <w:pStyle w:val="965"/>
        <w:pBdr/>
        <w:spacing/>
        <w:ind w:firstLine="0"/>
        <w:jc w:val="center"/>
        <w:outlineLvl w:val="1"/>
        <w:rPr>
          <w:b/>
          <w:bCs/>
        </w:rPr>
      </w:pPr>
      <w:r>
        <w:rPr>
          <w:b/>
          <w:bCs/>
          <w:highlight w:val="none"/>
        </w:rPr>
        <w:t xml:space="preserve">Комплект документации для настольной лампы</w:t>
      </w:r>
      <w:r>
        <w:rPr>
          <w:b/>
          <w:bCs/>
          <w:highlight w:val="none"/>
        </w:rPr>
      </w:r>
    </w:p>
    <w:p>
      <w:pPr>
        <w:pStyle w:val="965"/>
        <w:pBdr/>
        <w:spacing/>
        <w:ind w:firstLine="0"/>
        <w:jc w:val="center"/>
        <w:outlineLvl w:val="1"/>
        <w:rPr/>
      </w:pPr>
      <w:r>
        <w:rPr>
          <w:highlight w:val="none"/>
        </w:rPr>
        <w:t xml:space="preserve">Технические условия (ТУ)</w:t>
      </w:r>
      <w:r>
        <w:rPr>
          <w:highlight w:val="none"/>
        </w:rPr>
      </w:r>
    </w:p>
    <w:p>
      <w:pPr>
        <w:pStyle w:val="965"/>
        <w:pBdr/>
        <w:spacing/>
        <w:ind w:firstLine="0" w:left="0"/>
        <w:outlineLvl w:val="1"/>
        <w:rPr/>
      </w:pPr>
      <w:r>
        <w:rPr>
          <w:highlight w:val="none"/>
        </w:rPr>
        <w:t xml:space="preserve">Область применения</w:t>
      </w:r>
      <w:r>
        <w:rPr>
          <w:highlight w:val="none"/>
        </w:rPr>
      </w:r>
    </w:p>
    <w:p>
      <w:pPr>
        <w:pStyle w:val="965"/>
        <w:numPr>
          <w:ilvl w:val="0"/>
          <w:numId w:val="63"/>
        </w:numPr>
        <w:pBdr/>
        <w:spacing/>
        <w:ind/>
        <w:outlineLvl w:val="1"/>
        <w:rPr>
          <w:highlight w:val="none"/>
        </w:rPr>
      </w:pPr>
      <w:r>
        <w:rPr>
          <w:highlight w:val="none"/>
        </w:rPr>
        <w:t xml:space="preserve">Настольные лампы предназначены для освещения рабочих поверхностей и интерьеров помещений бытового назначения.</w:t>
      </w:r>
      <w:r>
        <w:rPr>
          <w:highlight w:val="none"/>
        </w:rPr>
      </w:r>
    </w:p>
    <w:p>
      <w:pPr>
        <w:pStyle w:val="965"/>
        <w:pBdr/>
        <w:spacing/>
        <w:ind w:firstLine="0"/>
        <w:outlineLvl w:val="1"/>
        <w:rPr>
          <w:highlight w:val="none"/>
        </w:rPr>
      </w:pPr>
      <w:r>
        <w:rPr>
          <w:highlight w:val="none"/>
        </w:rPr>
        <w:t xml:space="preserve">Общие требования</w:t>
      </w:r>
      <w:r>
        <w:rPr>
          <w:highlight w:val="none"/>
        </w:rPr>
      </w:r>
      <w:r/>
    </w:p>
    <w:p>
      <w:pPr>
        <w:pStyle w:val="965"/>
        <w:numPr>
          <w:ilvl w:val="0"/>
          <w:numId w:val="64"/>
        </w:numPr>
        <w:pBdr/>
        <w:spacing/>
        <w:ind/>
        <w:outlineLvl w:val="1"/>
        <w:rPr/>
      </w:pPr>
      <w:r>
        <w:rPr>
          <w:highlight w:val="none"/>
        </w:rPr>
        <w:t xml:space="preserve">Лампы изготавливаются в соответствии с ГОСТ Р 51318.15-99 и ГОСТ Р 51318.22-99.</w:t>
      </w:r>
      <w:r>
        <w:rPr>
          <w:highlight w:val="none"/>
        </w:rPr>
      </w:r>
    </w:p>
    <w:p>
      <w:pPr>
        <w:pStyle w:val="965"/>
        <w:numPr>
          <w:ilvl w:val="0"/>
          <w:numId w:val="64"/>
        </w:numPr>
        <w:pBdr/>
        <w:spacing/>
        <w:ind/>
        <w:outlineLvl w:val="1"/>
        <w:rPr/>
      </w:pPr>
      <w:r>
        <w:rPr>
          <w:highlight w:val="none"/>
        </w:rPr>
        <w:t xml:space="preserve">Соответствуют требованиям электробезопасности по ГОСТ Р 51318.15-99.</w:t>
      </w:r>
      <w:r>
        <w:rPr>
          <w:highlight w:val="none"/>
        </w:rPr>
      </w:r>
    </w:p>
    <w:p>
      <w:pPr>
        <w:pStyle w:val="965"/>
        <w:pBdr/>
        <w:spacing/>
        <w:ind w:firstLine="0"/>
        <w:outlineLvl w:val="1"/>
        <w:rPr/>
      </w:pPr>
      <w:r>
        <w:rPr>
          <w:highlight w:val="none"/>
        </w:rPr>
        <w:t xml:space="preserve">Технические требования</w:t>
      </w:r>
      <w:r>
        <w:rPr>
          <w:highlight w:val="none"/>
        </w:rPr>
      </w:r>
    </w:p>
    <w:p>
      <w:pPr>
        <w:pStyle w:val="965"/>
        <w:numPr>
          <w:ilvl w:val="0"/>
          <w:numId w:val="66"/>
        </w:numPr>
        <w:pBdr/>
        <w:spacing/>
        <w:ind/>
        <w:outlineLvl w:val="1"/>
        <w:rPr/>
      </w:pPr>
      <w:r>
        <w:rPr>
          <w:highlight w:val="none"/>
        </w:rPr>
        <w:t xml:space="preserve">Напряжение сети: 220 В ± 10%.</w:t>
      </w:r>
      <w:r>
        <w:rPr>
          <w:highlight w:val="none"/>
        </w:rPr>
      </w:r>
    </w:p>
    <w:p>
      <w:pPr>
        <w:pStyle w:val="965"/>
        <w:numPr>
          <w:ilvl w:val="0"/>
          <w:numId w:val="66"/>
        </w:numPr>
        <w:pBdr/>
        <w:spacing/>
        <w:ind/>
        <w:outlineLvl w:val="1"/>
        <w:rPr/>
      </w:pPr>
      <w:r>
        <w:rPr>
          <w:highlight w:val="none"/>
        </w:rPr>
        <w:t xml:space="preserve">Частота тока: 50 Гц.</w:t>
      </w:r>
      <w:r>
        <w:rPr>
          <w:highlight w:val="none"/>
        </w:rPr>
      </w:r>
    </w:p>
    <w:p>
      <w:pPr>
        <w:pStyle w:val="965"/>
        <w:numPr>
          <w:ilvl w:val="0"/>
          <w:numId w:val="66"/>
        </w:numPr>
        <w:pBdr/>
        <w:spacing/>
        <w:ind/>
        <w:outlineLvl w:val="1"/>
        <w:rPr/>
      </w:pPr>
      <w:r>
        <w:rPr>
          <w:highlight w:val="none"/>
        </w:rPr>
        <w:t xml:space="preserve">Мощность потребления: 10 Вт.</w:t>
      </w:r>
      <w:r>
        <w:rPr>
          <w:highlight w:val="none"/>
        </w:rPr>
      </w:r>
    </w:p>
    <w:p>
      <w:pPr>
        <w:pStyle w:val="965"/>
        <w:numPr>
          <w:ilvl w:val="0"/>
          <w:numId w:val="66"/>
        </w:numPr>
        <w:pBdr/>
        <w:spacing/>
        <w:ind/>
        <w:outlineLvl w:val="1"/>
        <w:rPr/>
      </w:pPr>
      <w:r>
        <w:rPr>
          <w:highlight w:val="none"/>
        </w:rPr>
        <w:t xml:space="preserve">Световой поток: 400 лм.</w:t>
      </w:r>
      <w:r>
        <w:rPr>
          <w:highlight w:val="none"/>
        </w:rPr>
      </w:r>
    </w:p>
    <w:p>
      <w:pPr>
        <w:pStyle w:val="965"/>
        <w:numPr>
          <w:ilvl w:val="0"/>
          <w:numId w:val="66"/>
        </w:numPr>
        <w:pBdr/>
        <w:spacing/>
        <w:ind/>
        <w:outlineLvl w:val="1"/>
        <w:rPr/>
      </w:pPr>
      <w:r>
        <w:rPr>
          <w:highlight w:val="none"/>
        </w:rPr>
        <w:t xml:space="preserve">Цветовая температура: 4000 К.</w:t>
      </w:r>
      <w:r>
        <w:rPr>
          <w:highlight w:val="none"/>
        </w:rPr>
      </w:r>
    </w:p>
    <w:p>
      <w:pPr>
        <w:pStyle w:val="965"/>
        <w:numPr>
          <w:ilvl w:val="0"/>
          <w:numId w:val="70"/>
        </w:numPr>
        <w:pBdr/>
        <w:spacing/>
        <w:ind/>
        <w:outlineLvl w:val="1"/>
        <w:rPr/>
      </w:pPr>
      <w:r>
        <w:rPr>
          <w:highlight w:val="none"/>
        </w:rPr>
        <w:t xml:space="preserve">Степень защиты IP20.</w:t>
      </w:r>
      <w:r>
        <w:rPr>
          <w:highlight w:val="none"/>
        </w:rPr>
      </w:r>
    </w:p>
    <w:p>
      <w:pPr>
        <w:pStyle w:val="965"/>
        <w:pBdr/>
        <w:spacing/>
        <w:ind w:firstLine="0"/>
        <w:outlineLvl w:val="1"/>
        <w:rPr/>
      </w:pPr>
      <w:r>
        <w:rPr>
          <w:highlight w:val="none"/>
        </w:rPr>
        <w:t xml:space="preserve">Маркировка</w:t>
      </w:r>
      <w:r>
        <w:rPr>
          <w:highlight w:val="none"/>
        </w:rPr>
      </w:r>
    </w:p>
    <w:p>
      <w:pPr>
        <w:pStyle w:val="965"/>
        <w:numPr>
          <w:ilvl w:val="0"/>
          <w:numId w:val="72"/>
        </w:numPr>
        <w:pBdr/>
        <w:spacing/>
        <w:ind/>
        <w:outlineLvl w:val="1"/>
        <w:rPr/>
      </w:pPr>
      <w:r>
        <w:rPr>
          <w:highlight w:val="none"/>
        </w:rPr>
        <w:t xml:space="preserve">Модель и наименование производителя наносятся на корпус изделия методом лазерной гравировки.</w:t>
      </w:r>
      <w:r>
        <w:rPr>
          <w:highlight w:val="none"/>
        </w:rPr>
      </w:r>
    </w:p>
    <w:p>
      <w:pPr>
        <w:pStyle w:val="965"/>
        <w:pBdr/>
        <w:spacing/>
        <w:ind w:firstLine="0"/>
        <w:outlineLvl w:val="1"/>
        <w:rPr/>
      </w:pPr>
      <w:r>
        <w:rPr>
          <w:highlight w:val="none"/>
        </w:rPr>
        <w:t xml:space="preserve">Упаковка и транспортирование</w:t>
      </w:r>
      <w:r>
        <w:rPr>
          <w:highlight w:val="none"/>
        </w:rPr>
      </w:r>
    </w:p>
    <w:p>
      <w:pPr>
        <w:pStyle w:val="965"/>
        <w:numPr>
          <w:ilvl w:val="0"/>
          <w:numId w:val="73"/>
        </w:numPr>
        <w:pBdr/>
        <w:spacing/>
        <w:ind/>
        <w:outlineLvl w:val="1"/>
        <w:rPr/>
      </w:pPr>
      <w:r>
        <w:rPr>
          <w:highlight w:val="none"/>
        </w:rPr>
        <w:t xml:space="preserve">Упаковываются в картонные коробки, обеспечивающие защиту от механических повреждений.</w:t>
      </w:r>
      <w:r>
        <w:rPr>
          <w:highlight w:val="none"/>
        </w:rPr>
      </w:r>
    </w:p>
    <w:p>
      <w:pPr>
        <w:pStyle w:val="965"/>
        <w:numPr>
          <w:ilvl w:val="0"/>
          <w:numId w:val="73"/>
        </w:numPr>
        <w:pBdr/>
        <w:spacing/>
        <w:ind/>
        <w:outlineLvl w:val="1"/>
        <w:rPr/>
      </w:pPr>
      <w:r>
        <w:rPr>
          <w:highlight w:val="none"/>
        </w:rPr>
        <w:t xml:space="preserve">Хранение осуществляется в сухих помещениях при температуре от +5°C до +40°C.</w:t>
      </w:r>
      <w:r>
        <w:rPr>
          <w:highlight w:val="none"/>
        </w:rPr>
      </w:r>
    </w:p>
    <w:p>
      <w:pPr>
        <w:pStyle w:val="965"/>
        <w:pBdr/>
        <w:spacing/>
        <w:ind w:firstLine="0"/>
        <w:outlineLvl w:val="1"/>
        <w:rPr/>
      </w:pPr>
      <w:r>
        <w:rPr>
          <w:highlight w:val="none"/>
        </w:rPr>
        <w:t xml:space="preserve">Гарантии изготовителя</w:t>
      </w:r>
      <w:r>
        <w:rPr>
          <w:highlight w:val="none"/>
        </w:rPr>
      </w:r>
    </w:p>
    <w:p>
      <w:pPr>
        <w:pStyle w:val="965"/>
        <w:numPr>
          <w:ilvl w:val="0"/>
          <w:numId w:val="75"/>
        </w:numPr>
        <w:pBdr/>
        <w:spacing/>
        <w:ind/>
        <w:outlineLvl w:val="1"/>
        <w:rPr/>
      </w:pPr>
      <w:r>
        <w:rPr>
          <w:highlight w:val="none"/>
        </w:rPr>
        <w:t xml:space="preserve">Гарантийный срок службы составляет 12 месяцев с момента продажи.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65"/>
        <w:pBdr/>
        <w:spacing/>
        <w:ind w:firstLine="0" w:left="0"/>
        <w:jc w:val="center"/>
        <w:outlineLvl w:val="1"/>
        <w:rPr>
          <w:highlight w:val="none"/>
          <w:lang w:val="ru-RU"/>
        </w:rPr>
      </w:pPr>
      <w:r>
        <w:rPr>
          <w:highlight w:val="none"/>
          <w:lang w:val="ru-RU"/>
        </w:rPr>
        <w:t xml:space="preserve">Паспорт изделия</w:t>
      </w:r>
      <w:r>
        <w:rPr>
          <w:highlight w:val="none"/>
        </w:rPr>
      </w:r>
    </w:p>
    <w:p>
      <w:pPr>
        <w:pStyle w:val="965"/>
        <w:pBdr/>
        <w:spacing/>
        <w:ind w:firstLine="0" w:left="0"/>
        <w:jc w:val="left"/>
        <w:outlineLvl w:val="1"/>
        <w:rPr/>
      </w:pPr>
      <w:r>
        <w:rPr>
          <w:highlight w:val="none"/>
          <w:lang w:val="ru-RU"/>
        </w:rPr>
        <w:t xml:space="preserve">См. паспорт с тех.характеристиками в табл.7 </w:t>
      </w:r>
      <w:r>
        <w:rPr>
          <w:highlight w:val="none"/>
          <w:lang w:val="ru-RU"/>
        </w:rPr>
      </w:r>
    </w:p>
    <w:tbl>
      <w:tblPr>
        <w:tblStyle w:val="9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6658"/>
        <w:gridCol w:w="2696"/>
      </w:tblGrid>
      <w:tr>
        <w:trPr/>
        <w:tc>
          <w:tcPr>
            <w:tcBorders/>
            <w:tcW w:w="6658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Параметр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Значение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Номинальное напряжение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220 В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Потребляемая мощность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10 Вт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Тип лампочки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LED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Цветовая температура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4000 K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Индекс цветопередачи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&gt;80 Ra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Срок службы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25000 часов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Уровень шума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Менее 20 дБ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658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Класс энергоэффективности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696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A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65"/>
        <w:pBdr/>
        <w:spacing/>
        <w:ind w:firstLine="0" w:left="0"/>
        <w:jc w:val="center"/>
        <w:outlineLvl w:val="1"/>
        <w:rPr/>
      </w:pPr>
      <w:r>
        <w:rPr>
          <w:highlight w:val="none"/>
        </w:rPr>
        <w:t xml:space="preserve">Таблица 7</w:t>
      </w:r>
      <w:r>
        <w:rPr>
          <w:highlight w:val="none"/>
        </w:rPr>
      </w:r>
    </w:p>
    <w:p>
      <w:pPr>
        <w:pStyle w:val="965"/>
        <w:pBdr/>
        <w:spacing/>
        <w:ind w:firstLine="0"/>
        <w:jc w:val="center"/>
        <w:rPr/>
      </w:pPr>
      <w:r>
        <w:t xml:space="preserve">Руководство по эксплуатации</w:t>
      </w:r>
      <w:r/>
    </w:p>
    <w:p>
      <w:pPr>
        <w:pStyle w:val="965"/>
        <w:pBdr/>
        <w:spacing/>
        <w:ind w:firstLine="0"/>
        <w:rPr/>
      </w:pPr>
      <w:r>
        <w:t xml:space="preserve">Назначение и область применения</w:t>
      </w:r>
      <w:r/>
    </w:p>
    <w:p>
      <w:pPr>
        <w:pStyle w:val="965"/>
        <w:numPr>
          <w:ilvl w:val="0"/>
          <w:numId w:val="76"/>
        </w:numPr>
        <w:pBdr/>
        <w:spacing/>
        <w:ind/>
        <w:rPr/>
      </w:pPr>
      <w:r>
        <w:t xml:space="preserve">Настольная лампа предназначена для локального освещения рабочего места в домашних условиях и офисных интерьерах.</w:t>
      </w:r>
      <w:r/>
      <w:r/>
      <w:r/>
      <w:r/>
    </w:p>
    <w:p>
      <w:pPr>
        <w:pStyle w:val="965"/>
        <w:pBdr/>
        <w:spacing/>
        <w:ind w:firstLine="0"/>
        <w:rPr/>
      </w:pPr>
      <w:r>
        <w:t xml:space="preserve">Устройство и принцип работы</w:t>
      </w:r>
      <w:r/>
    </w:p>
    <w:p>
      <w:pPr>
        <w:pStyle w:val="965"/>
        <w:numPr>
          <w:ilvl w:val="0"/>
          <w:numId w:val="77"/>
        </w:numPr>
        <w:pBdr/>
        <w:spacing/>
        <w:ind/>
        <w:rPr/>
      </w:pPr>
      <w:r>
        <w:t xml:space="preserve">Настольная лампа состоит из корпуса, светодиодного модуля, драйвера питания и гибкого штатива. Принцип работы основан на преобразовании электрической энергии в световую посредством светодиодов.</w:t>
      </w:r>
      <w:r/>
      <w:r/>
      <w:r/>
      <w:r/>
    </w:p>
    <w:p>
      <w:pPr>
        <w:pStyle w:val="965"/>
        <w:pBdr/>
        <w:spacing/>
        <w:ind w:firstLine="0"/>
        <w:rPr/>
      </w:pPr>
      <w:r>
        <w:t xml:space="preserve">Указания по эксплуатации</w:t>
      </w:r>
      <w:r/>
    </w:p>
    <w:p>
      <w:pPr>
        <w:pStyle w:val="965"/>
        <w:numPr>
          <w:ilvl w:val="0"/>
          <w:numId w:val="78"/>
        </w:numPr>
        <w:pBdr/>
        <w:spacing/>
        <w:ind/>
        <w:rPr/>
      </w:pPr>
      <w:r>
        <w:t xml:space="preserve">Включите светильник в розетку 220 В.</w:t>
      </w:r>
      <w:r/>
    </w:p>
    <w:p>
      <w:pPr>
        <w:pStyle w:val="965"/>
        <w:numPr>
          <w:ilvl w:val="0"/>
          <w:numId w:val="78"/>
        </w:numPr>
        <w:pBdr/>
        <w:spacing/>
        <w:ind/>
        <w:rPr/>
      </w:pPr>
      <w:r>
        <w:t xml:space="preserve">Используйте регулировочный механизм для изменения угла наклона и направления света.</w:t>
      </w:r>
      <w:r/>
    </w:p>
    <w:p>
      <w:pPr>
        <w:pStyle w:val="965"/>
        <w:numPr>
          <w:ilvl w:val="0"/>
          <w:numId w:val="78"/>
        </w:numPr>
        <w:pBdr/>
        <w:spacing/>
        <w:ind/>
        <w:rPr/>
      </w:pPr>
      <w:r>
        <w:t xml:space="preserve">Не допускайте попадания влаги внутрь устройства.</w:t>
      </w:r>
      <w:r/>
    </w:p>
    <w:p>
      <w:pPr>
        <w:pStyle w:val="965"/>
        <w:pBdr/>
        <w:spacing/>
        <w:ind w:firstLine="0"/>
        <w:rPr/>
      </w:pPr>
      <w:r>
        <w:t xml:space="preserve">Техническое обслуживание</w:t>
      </w:r>
      <w:r/>
    </w:p>
    <w:p>
      <w:pPr>
        <w:pStyle w:val="965"/>
        <w:numPr>
          <w:ilvl w:val="0"/>
          <w:numId w:val="81"/>
        </w:numPr>
        <w:pBdr/>
        <w:spacing/>
        <w:ind/>
        <w:rPr/>
      </w:pPr>
      <w:r>
        <w:t xml:space="preserve">Регулярно очищайте поверхность лампы мягкой тканью без абразивных материалов. Избегайте воздействия агрессивных веществ.</w:t>
      </w:r>
      <w:r/>
      <w:r/>
      <w:r/>
    </w:p>
    <w:p>
      <w:pPr>
        <w:pStyle w:val="965"/>
        <w:pBdr/>
        <w:spacing/>
        <w:ind w:firstLine="0" w:left="709"/>
        <w:rPr/>
      </w:pPr>
      <w:r>
        <w:rPr>
          <w:highlight w:val="none"/>
        </w:rPr>
        <w:t xml:space="preserve">См. неисправности и способы устранения в табл.8</w:t>
      </w:r>
      <w:r>
        <w:rPr>
          <w:highlight w:val="none"/>
        </w:rPr>
      </w:r>
    </w:p>
    <w:tbl>
      <w:tblPr>
        <w:tblStyle w:val="9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942"/>
        <w:gridCol w:w="3557"/>
        <w:gridCol w:w="2855"/>
      </w:tblGrid>
      <w:tr>
        <w:trPr/>
        <w:tc>
          <w:tcPr>
            <w:tcBorders/>
            <w:tcW w:w="2942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Неисправность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57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5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Способ устранения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42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Нет свечения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57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Перегорел диод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55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Замена диода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42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Мигает свет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57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Нарушение контакта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55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Проверка контактов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42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Изменился оттенок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57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Ошибка настроек цвета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855" w:type="dxa"/>
            <w:vAlign w:val="top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Регулировка оттенка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65"/>
        <w:pBdr/>
        <w:spacing/>
        <w:ind w:firstLine="0" w:left="0"/>
        <w:jc w:val="center"/>
        <w:rPr>
          <w:highlight w:val="none"/>
        </w:rPr>
      </w:pPr>
      <w:r>
        <w:rPr>
          <w:highlight w:val="none"/>
        </w:rPr>
        <w:t xml:space="preserve">Таблица 8</w:t>
      </w:r>
      <w:r>
        <w:rPr>
          <w:highlight w:val="none"/>
        </w:rPr>
      </w:r>
    </w:p>
    <w:p>
      <w:pPr>
        <w:pStyle w:val="965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Правила хранения и транспортирования</w:t>
      </w:r>
      <w:r>
        <w:rPr>
          <w:highlight w:val="none"/>
        </w:rPr>
      </w:r>
    </w:p>
    <w:p>
      <w:pPr>
        <w:pStyle w:val="965"/>
        <w:numPr>
          <w:ilvl w:val="0"/>
          <w:numId w:val="82"/>
        </w:numPr>
        <w:pBdr/>
        <w:spacing/>
        <w:ind/>
        <w:rPr/>
      </w:pPr>
      <w:r>
        <w:rPr>
          <w:highlight w:val="none"/>
        </w:rPr>
        <w:t xml:space="preserve">Храните лампу в сухом помещении при комнатной температуре. Во избежание повреждения перевозите упакованной в заводской упаковке.</w:t>
      </w:r>
      <w:r>
        <w:rPr>
          <w:highlight w:val="none"/>
        </w:rPr>
      </w:r>
    </w:p>
    <w:p>
      <w:pPr>
        <w:pStyle w:val="965"/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38" w:orient="landscape" w:w="11906"/>
      <w:pgMar w:top="1134" w:right="567" w:bottom="1134" w:left="1701" w:header="709" w:footer="567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pBdr/>
      <w:spacing/>
      <w:ind/>
      <w:jc w:val="center"/>
      <w:rPr/>
    </w:pPr>
    <w:r>
      <w:fldChar w:fldCharType="begin"/>
    </w:r>
    <w:r>
      <w:instrText xml:space="preserve">PAGE \* M</w:instrText>
    </w:r>
    <w:r>
      <w:instrText xml:space="preserve">ERGEFORMAT</w:instrText>
    </w:r>
    <w:r>
      <w:fldChar w:fldCharType="separate"/>
    </w:r>
    <w:r>
      <w:t xml:space="preserve">20</w:t>
    </w:r>
    <w:r>
      <w:fldChar w:fldCharType="end"/>
    </w:r>
    <w:r/>
  </w:p>
  <w:p>
    <w:pPr>
      <w:pStyle w:val="81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space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space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space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1429"/>
      </w:pPr>
      <w:pStyle w:val="97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space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space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space"/>
    </w:lvl>
  </w:abstractNum>
  <w:abstractNum w:abstractNumId="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space"/>
    </w:lvl>
  </w:abstractNum>
  <w:abstractNum w:abstractNumId="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space"/>
    </w:lvl>
  </w:abstractNum>
  <w:abstractNum w:abstractNumId="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space"/>
    </w:lvl>
  </w:abstractNum>
  <w:abstractNum w:abstractNumId="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space"/>
    </w:lvl>
  </w:abstractNum>
  <w:abstractNum w:abstractNumId="6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space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num w:numId="1">
    <w:abstractNumId w:val="30"/>
  </w:num>
  <w:num w:numId="2">
    <w:abstractNumId w:val="48"/>
  </w:num>
  <w:num w:numId="3">
    <w:abstractNumId w:val="5"/>
  </w:num>
  <w:num w:numId="4">
    <w:abstractNumId w:val="17"/>
  </w:num>
  <w:num w:numId="5">
    <w:abstractNumId w:val="28"/>
  </w:num>
  <w:num w:numId="6">
    <w:abstractNumId w:val="45"/>
  </w:num>
  <w:num w:numId="7">
    <w:abstractNumId w:val="36"/>
  </w:num>
  <w:num w:numId="8">
    <w:abstractNumId w:val="24"/>
  </w:num>
  <w:num w:numId="9">
    <w:abstractNumId w:val="53"/>
  </w:num>
  <w:num w:numId="10">
    <w:abstractNumId w:val="2"/>
  </w:num>
  <w:num w:numId="11">
    <w:abstractNumId w:val="46"/>
  </w:num>
  <w:num w:numId="12">
    <w:abstractNumId w:val="13"/>
  </w:num>
  <w:num w:numId="13">
    <w:abstractNumId w:val="54"/>
  </w:num>
  <w:num w:numId="14">
    <w:abstractNumId w:val="1"/>
  </w:num>
  <w:num w:numId="15">
    <w:abstractNumId w:val="35"/>
  </w:num>
  <w:num w:numId="16">
    <w:abstractNumId w:val="49"/>
  </w:num>
  <w:num w:numId="17">
    <w:abstractNumId w:val="52"/>
  </w:num>
  <w:num w:numId="18">
    <w:abstractNumId w:val="41"/>
  </w:num>
  <w:num w:numId="19">
    <w:abstractNumId w:val="8"/>
  </w:num>
  <w:num w:numId="20">
    <w:abstractNumId w:val="7"/>
  </w:num>
  <w:num w:numId="21">
    <w:abstractNumId w:val="37"/>
  </w:num>
  <w:num w:numId="22">
    <w:abstractNumId w:val="55"/>
  </w:num>
  <w:num w:numId="23">
    <w:abstractNumId w:val="19"/>
  </w:num>
  <w:num w:numId="24">
    <w:abstractNumId w:val="40"/>
  </w:num>
  <w:num w:numId="25">
    <w:abstractNumId w:val="15"/>
  </w:num>
  <w:num w:numId="26">
    <w:abstractNumId w:val="47"/>
  </w:num>
  <w:num w:numId="27">
    <w:abstractNumId w:val="29"/>
  </w:num>
  <w:num w:numId="28">
    <w:abstractNumId w:val="32"/>
  </w:num>
  <w:num w:numId="29">
    <w:abstractNumId w:val="34"/>
  </w:num>
  <w:num w:numId="30">
    <w:abstractNumId w:val="33"/>
  </w:num>
  <w:num w:numId="31">
    <w:abstractNumId w:val="51"/>
  </w:num>
  <w:num w:numId="32">
    <w:abstractNumId w:val="12"/>
  </w:num>
  <w:num w:numId="33">
    <w:abstractNumId w:val="26"/>
  </w:num>
  <w:num w:numId="34">
    <w:abstractNumId w:val="43"/>
  </w:num>
  <w:num w:numId="35">
    <w:abstractNumId w:val="18"/>
  </w:num>
  <w:num w:numId="36">
    <w:abstractNumId w:val="27"/>
  </w:num>
  <w:num w:numId="37">
    <w:abstractNumId w:val="10"/>
  </w:num>
  <w:num w:numId="38">
    <w:abstractNumId w:val="22"/>
  </w:num>
  <w:num w:numId="39">
    <w:abstractNumId w:val="25"/>
  </w:num>
  <w:num w:numId="40">
    <w:abstractNumId w:val="21"/>
  </w:num>
  <w:num w:numId="41">
    <w:abstractNumId w:val="50"/>
  </w:num>
  <w:num w:numId="42">
    <w:abstractNumId w:val="4"/>
  </w:num>
  <w:num w:numId="43">
    <w:abstractNumId w:val="9"/>
  </w:num>
  <w:num w:numId="44">
    <w:abstractNumId w:val="6"/>
  </w:num>
  <w:num w:numId="45">
    <w:abstractNumId w:val="23"/>
  </w:num>
  <w:num w:numId="46">
    <w:abstractNumId w:val="31"/>
  </w:num>
  <w:num w:numId="47">
    <w:abstractNumId w:val="3"/>
  </w:num>
  <w:num w:numId="48">
    <w:abstractNumId w:val="44"/>
  </w:num>
  <w:num w:numId="49">
    <w:abstractNumId w:val="11"/>
  </w:num>
  <w:num w:numId="50">
    <w:abstractNumId w:val="14"/>
  </w:num>
  <w:num w:numId="51">
    <w:abstractNumId w:val="42"/>
  </w:num>
  <w:num w:numId="52">
    <w:abstractNumId w:val="0"/>
  </w:num>
  <w:num w:numId="53">
    <w:abstractNumId w:val="20"/>
  </w:num>
  <w:num w:numId="54">
    <w:abstractNumId w:val="16"/>
  </w:num>
  <w:num w:numId="55">
    <w:abstractNumId w:val="38"/>
  </w:num>
  <w:num w:numId="56">
    <w:abstractNumId w:val="39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94"/>
    <w:link w:val="78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94"/>
    <w:link w:val="786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94"/>
    <w:link w:val="78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94"/>
    <w:link w:val="78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94"/>
    <w:link w:val="78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94"/>
    <w:link w:val="79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94"/>
    <w:link w:val="79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94"/>
    <w:link w:val="792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94"/>
    <w:link w:val="79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94"/>
    <w:link w:val="807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794"/>
    <w:link w:val="809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811"/>
    <w:uiPriority w:val="29"/>
    <w:pPr>
      <w:pBdr/>
      <w:spacing/>
      <w:ind/>
    </w:pPr>
    <w:rPr>
      <w:i/>
    </w:rPr>
  </w:style>
  <w:style w:type="character" w:styleId="41">
    <w:name w:val="Intense Quote Char"/>
    <w:link w:val="813"/>
    <w:uiPriority w:val="30"/>
    <w:pPr>
      <w:pBdr/>
      <w:spacing/>
      <w:ind/>
    </w:pPr>
    <w:rPr>
      <w:i/>
    </w:rPr>
  </w:style>
  <w:style w:type="character" w:styleId="43">
    <w:name w:val="Header Char"/>
    <w:basedOn w:val="794"/>
    <w:link w:val="815"/>
    <w:uiPriority w:val="99"/>
    <w:pPr>
      <w:pBdr/>
      <w:spacing/>
      <w:ind/>
    </w:pPr>
  </w:style>
  <w:style w:type="character" w:styleId="47">
    <w:name w:val="Caption Char"/>
    <w:basedOn w:val="819"/>
    <w:link w:val="817"/>
    <w:uiPriority w:val="99"/>
    <w:pPr>
      <w:pBdr/>
      <w:spacing/>
      <w:ind/>
    </w:pPr>
  </w:style>
  <w:style w:type="character" w:styleId="176">
    <w:name w:val="Footnote Text Char"/>
    <w:link w:val="947"/>
    <w:uiPriority w:val="99"/>
    <w:pPr>
      <w:pBdr/>
      <w:spacing/>
      <w:ind/>
    </w:pPr>
    <w:rPr>
      <w:sz w:val="18"/>
    </w:rPr>
  </w:style>
  <w:style w:type="character" w:styleId="179">
    <w:name w:val="Endnote Text Char"/>
    <w:link w:val="950"/>
    <w:uiPriority w:val="99"/>
    <w:pPr>
      <w:pBdr/>
      <w:spacing/>
      <w:ind/>
    </w:pPr>
    <w:rPr>
      <w:sz w:val="20"/>
    </w:rPr>
  </w:style>
  <w:style w:type="paragraph" w:styleId="784" w:default="1">
    <w:name w:val="Normal"/>
    <w:qFormat/>
    <w:pPr>
      <w:pBdr/>
      <w:spacing/>
      <w:ind/>
    </w:pPr>
  </w:style>
  <w:style w:type="paragraph" w:styleId="785">
    <w:name w:val="Heading 1"/>
    <w:basedOn w:val="784"/>
    <w:next w:val="784"/>
    <w:link w:val="797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86">
    <w:name w:val="Heading 2"/>
    <w:basedOn w:val="784"/>
    <w:next w:val="784"/>
    <w:link w:val="798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787">
    <w:name w:val="Heading 3"/>
    <w:basedOn w:val="784"/>
    <w:next w:val="784"/>
    <w:link w:val="79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88">
    <w:name w:val="Heading 4"/>
    <w:basedOn w:val="784"/>
    <w:next w:val="784"/>
    <w:link w:val="80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89">
    <w:name w:val="Heading 5"/>
    <w:basedOn w:val="784"/>
    <w:next w:val="784"/>
    <w:link w:val="801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90">
    <w:name w:val="Heading 6"/>
    <w:basedOn w:val="784"/>
    <w:next w:val="784"/>
    <w:link w:val="80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</w:rPr>
  </w:style>
  <w:style w:type="paragraph" w:styleId="791">
    <w:name w:val="Heading 7"/>
    <w:basedOn w:val="784"/>
    <w:next w:val="784"/>
    <w:link w:val="80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92">
    <w:name w:val="Heading 8"/>
    <w:basedOn w:val="784"/>
    <w:next w:val="784"/>
    <w:link w:val="80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</w:rPr>
  </w:style>
  <w:style w:type="paragraph" w:styleId="793">
    <w:name w:val="Heading 9"/>
    <w:basedOn w:val="784"/>
    <w:next w:val="784"/>
    <w:link w:val="805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4" w:default="1">
    <w:name w:val="Default Paragraph Font"/>
    <w:uiPriority w:val="1"/>
    <w:semiHidden/>
    <w:unhideWhenUsed/>
    <w:pPr>
      <w:pBdr/>
      <w:spacing/>
      <w:ind/>
    </w:pPr>
  </w:style>
  <w:style w:type="table" w:styleId="79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6" w:default="1">
    <w:name w:val="No List"/>
    <w:uiPriority w:val="99"/>
    <w:semiHidden/>
    <w:unhideWhenUsed/>
    <w:pPr>
      <w:pBdr/>
      <w:spacing/>
      <w:ind/>
    </w:pPr>
  </w:style>
  <w:style w:type="character" w:styleId="797" w:customStyle="1">
    <w:name w:val="Заголовок 1 Знак"/>
    <w:basedOn w:val="794"/>
    <w:link w:val="78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98" w:customStyle="1">
    <w:name w:val="Заголовок 2 Знак"/>
    <w:basedOn w:val="794"/>
    <w:link w:val="786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99" w:customStyle="1">
    <w:name w:val="Заголовок 3 Знак"/>
    <w:basedOn w:val="794"/>
    <w:link w:val="78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00" w:customStyle="1">
    <w:name w:val="Заголовок 4 Знак"/>
    <w:basedOn w:val="794"/>
    <w:link w:val="78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01" w:customStyle="1">
    <w:name w:val="Заголовок 5 Знак"/>
    <w:basedOn w:val="794"/>
    <w:link w:val="78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02" w:customStyle="1">
    <w:name w:val="Заголовок 6 Знак"/>
    <w:basedOn w:val="794"/>
    <w:link w:val="79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03" w:customStyle="1">
    <w:name w:val="Заголовок 7 Знак"/>
    <w:basedOn w:val="794"/>
    <w:link w:val="79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4" w:customStyle="1">
    <w:name w:val="Заголовок 8 Знак"/>
    <w:basedOn w:val="794"/>
    <w:link w:val="792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05" w:customStyle="1">
    <w:name w:val="Заголовок 9 Знак"/>
    <w:basedOn w:val="794"/>
    <w:link w:val="79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06">
    <w:name w:val="No Spacing"/>
    <w:uiPriority w:val="1"/>
    <w:qFormat/>
    <w:pPr>
      <w:pBdr/>
      <w:spacing w:after="0" w:line="240" w:lineRule="auto"/>
      <w:ind/>
    </w:pPr>
  </w:style>
  <w:style w:type="paragraph" w:styleId="807">
    <w:name w:val="Title"/>
    <w:basedOn w:val="784"/>
    <w:next w:val="784"/>
    <w:link w:val="80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08" w:customStyle="1">
    <w:name w:val="Название Знак"/>
    <w:basedOn w:val="794"/>
    <w:link w:val="807"/>
    <w:uiPriority w:val="10"/>
    <w:pPr>
      <w:pBdr/>
      <w:spacing/>
      <w:ind/>
    </w:pPr>
    <w:rPr>
      <w:sz w:val="48"/>
      <w:szCs w:val="48"/>
    </w:rPr>
  </w:style>
  <w:style w:type="paragraph" w:styleId="809">
    <w:name w:val="Subtitle"/>
    <w:basedOn w:val="784"/>
    <w:next w:val="784"/>
    <w:link w:val="81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10" w:customStyle="1">
    <w:name w:val="Подзаголовок Знак"/>
    <w:basedOn w:val="794"/>
    <w:link w:val="809"/>
    <w:uiPriority w:val="11"/>
    <w:pPr>
      <w:pBdr/>
      <w:spacing/>
      <w:ind/>
    </w:pPr>
    <w:rPr>
      <w:sz w:val="24"/>
      <w:szCs w:val="24"/>
    </w:rPr>
  </w:style>
  <w:style w:type="paragraph" w:styleId="811">
    <w:name w:val="Quote"/>
    <w:basedOn w:val="784"/>
    <w:next w:val="784"/>
    <w:link w:val="812"/>
    <w:uiPriority w:val="29"/>
    <w:qFormat/>
    <w:pPr>
      <w:pBdr/>
      <w:spacing/>
      <w:ind w:right="720" w:left="720"/>
    </w:pPr>
    <w:rPr>
      <w:i/>
    </w:rPr>
  </w:style>
  <w:style w:type="character" w:styleId="812" w:customStyle="1">
    <w:name w:val="Цитата 2 Знак"/>
    <w:link w:val="811"/>
    <w:uiPriority w:val="29"/>
    <w:pPr>
      <w:pBdr/>
      <w:spacing/>
      <w:ind/>
    </w:pPr>
    <w:rPr>
      <w:i/>
    </w:rPr>
  </w:style>
  <w:style w:type="paragraph" w:styleId="813">
    <w:name w:val="Intense Quote"/>
    <w:basedOn w:val="784"/>
    <w:next w:val="784"/>
    <w:link w:val="81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14" w:customStyle="1">
    <w:name w:val="Выделенная цитата Знак"/>
    <w:link w:val="813"/>
    <w:uiPriority w:val="30"/>
    <w:pPr>
      <w:pBdr/>
      <w:spacing/>
      <w:ind/>
    </w:pPr>
    <w:rPr>
      <w:i/>
    </w:rPr>
  </w:style>
  <w:style w:type="paragraph" w:styleId="815">
    <w:name w:val="Header"/>
    <w:basedOn w:val="784"/>
    <w:link w:val="81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16" w:customStyle="1">
    <w:name w:val="Верхний колонтитул Знак"/>
    <w:basedOn w:val="794"/>
    <w:link w:val="815"/>
    <w:uiPriority w:val="99"/>
    <w:pPr>
      <w:pBdr/>
      <w:spacing/>
      <w:ind/>
    </w:pPr>
  </w:style>
  <w:style w:type="paragraph" w:styleId="817">
    <w:name w:val="Footer"/>
    <w:basedOn w:val="784"/>
    <w:link w:val="82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18" w:customStyle="1">
    <w:name w:val="Footer Char"/>
    <w:basedOn w:val="794"/>
    <w:uiPriority w:val="99"/>
    <w:pPr>
      <w:pBdr/>
      <w:spacing/>
      <w:ind/>
    </w:pPr>
  </w:style>
  <w:style w:type="paragraph" w:styleId="819">
    <w:name w:val="Caption"/>
    <w:basedOn w:val="784"/>
    <w:next w:val="784"/>
    <w:uiPriority w:val="35"/>
    <w:semiHidden/>
    <w:unhideWhenUsed/>
    <w:qFormat/>
    <w:pPr>
      <w:pBdr/>
      <w:spacing w:line="276" w:lineRule="auto"/>
      <w:ind/>
    </w:pPr>
    <w:rPr>
      <w:b/>
      <w:bCs/>
      <w:color w:val="5b9bd5" w:themeColor="accent1"/>
      <w:sz w:val="18"/>
      <w:szCs w:val="18"/>
    </w:rPr>
  </w:style>
  <w:style w:type="character" w:styleId="820" w:customStyle="1">
    <w:name w:val="Нижний колонтитул Знак"/>
    <w:link w:val="817"/>
    <w:uiPriority w:val="99"/>
    <w:pPr>
      <w:pBdr/>
      <w:spacing/>
      <w:ind/>
    </w:pPr>
  </w:style>
  <w:style w:type="table" w:styleId="821" w:customStyle="1">
    <w:name w:val="Table Grid Light"/>
    <w:basedOn w:val="79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1"/>
    <w:basedOn w:val="79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2"/>
    <w:basedOn w:val="79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1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2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3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5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4 - Accent 6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4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1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2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3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4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5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 6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1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2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3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4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5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 6"/>
    <w:basedOn w:val="79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6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47">
    <w:name w:val="footnote text"/>
    <w:basedOn w:val="784"/>
    <w:link w:val="94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48" w:customStyle="1">
    <w:name w:val="Текст сноски Знак"/>
    <w:link w:val="947"/>
    <w:uiPriority w:val="99"/>
    <w:pPr>
      <w:pBdr/>
      <w:spacing/>
      <w:ind/>
    </w:pPr>
    <w:rPr>
      <w:sz w:val="18"/>
    </w:rPr>
  </w:style>
  <w:style w:type="character" w:styleId="949">
    <w:name w:val="footnote reference"/>
    <w:basedOn w:val="794"/>
    <w:uiPriority w:val="99"/>
    <w:unhideWhenUsed/>
    <w:pPr>
      <w:pBdr/>
      <w:spacing/>
      <w:ind/>
    </w:pPr>
    <w:rPr>
      <w:vertAlign w:val="superscript"/>
    </w:rPr>
  </w:style>
  <w:style w:type="paragraph" w:styleId="950">
    <w:name w:val="endnote text"/>
    <w:basedOn w:val="784"/>
    <w:link w:val="95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51" w:customStyle="1">
    <w:name w:val="Текст концевой сноски Знак"/>
    <w:link w:val="950"/>
    <w:uiPriority w:val="99"/>
    <w:pPr>
      <w:pBdr/>
      <w:spacing/>
      <w:ind/>
    </w:pPr>
    <w:rPr>
      <w:sz w:val="20"/>
    </w:rPr>
  </w:style>
  <w:style w:type="character" w:styleId="952">
    <w:name w:val="end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paragraph" w:styleId="953">
    <w:name w:val="toc 1"/>
    <w:basedOn w:val="784"/>
    <w:next w:val="784"/>
    <w:uiPriority w:val="39"/>
    <w:unhideWhenUsed/>
    <w:pPr>
      <w:pBdr/>
      <w:spacing w:after="57"/>
      <w:ind/>
    </w:pPr>
  </w:style>
  <w:style w:type="paragraph" w:styleId="954">
    <w:name w:val="toc 2"/>
    <w:basedOn w:val="784"/>
    <w:next w:val="784"/>
    <w:uiPriority w:val="39"/>
    <w:unhideWhenUsed/>
    <w:pPr>
      <w:pBdr/>
      <w:spacing w:after="57"/>
      <w:ind w:left="283"/>
    </w:pPr>
  </w:style>
  <w:style w:type="paragraph" w:styleId="955">
    <w:name w:val="toc 3"/>
    <w:basedOn w:val="784"/>
    <w:next w:val="784"/>
    <w:uiPriority w:val="39"/>
    <w:unhideWhenUsed/>
    <w:pPr>
      <w:pBdr/>
      <w:spacing w:after="57"/>
      <w:ind w:left="567"/>
    </w:pPr>
  </w:style>
  <w:style w:type="paragraph" w:styleId="956">
    <w:name w:val="toc 4"/>
    <w:basedOn w:val="784"/>
    <w:next w:val="784"/>
    <w:uiPriority w:val="39"/>
    <w:unhideWhenUsed/>
    <w:pPr>
      <w:pBdr/>
      <w:spacing w:after="57"/>
      <w:ind w:left="850"/>
    </w:pPr>
  </w:style>
  <w:style w:type="paragraph" w:styleId="957">
    <w:name w:val="toc 5"/>
    <w:basedOn w:val="784"/>
    <w:next w:val="784"/>
    <w:uiPriority w:val="39"/>
    <w:unhideWhenUsed/>
    <w:pPr>
      <w:pBdr/>
      <w:spacing w:after="57"/>
      <w:ind w:left="1134"/>
    </w:pPr>
  </w:style>
  <w:style w:type="paragraph" w:styleId="958">
    <w:name w:val="toc 6"/>
    <w:basedOn w:val="784"/>
    <w:next w:val="784"/>
    <w:uiPriority w:val="39"/>
    <w:unhideWhenUsed/>
    <w:pPr>
      <w:pBdr/>
      <w:spacing w:after="57"/>
      <w:ind w:left="1417"/>
    </w:pPr>
  </w:style>
  <w:style w:type="paragraph" w:styleId="959">
    <w:name w:val="toc 7"/>
    <w:basedOn w:val="784"/>
    <w:next w:val="784"/>
    <w:uiPriority w:val="39"/>
    <w:unhideWhenUsed/>
    <w:pPr>
      <w:pBdr/>
      <w:spacing w:after="57"/>
      <w:ind w:left="1701"/>
    </w:pPr>
  </w:style>
  <w:style w:type="paragraph" w:styleId="960">
    <w:name w:val="toc 8"/>
    <w:basedOn w:val="784"/>
    <w:next w:val="784"/>
    <w:uiPriority w:val="39"/>
    <w:unhideWhenUsed/>
    <w:pPr>
      <w:pBdr/>
      <w:spacing w:after="57"/>
      <w:ind w:left="1984"/>
    </w:pPr>
  </w:style>
  <w:style w:type="paragraph" w:styleId="961">
    <w:name w:val="toc 9"/>
    <w:basedOn w:val="784"/>
    <w:next w:val="784"/>
    <w:uiPriority w:val="39"/>
    <w:unhideWhenUsed/>
    <w:pPr>
      <w:pBdr/>
      <w:spacing w:after="57"/>
      <w:ind w:left="2268"/>
    </w:pPr>
  </w:style>
  <w:style w:type="paragraph" w:styleId="962">
    <w:name w:val="TOC Heading"/>
    <w:uiPriority w:val="39"/>
    <w:unhideWhenUsed/>
    <w:pPr>
      <w:pBdr/>
      <w:spacing/>
      <w:ind/>
    </w:pPr>
  </w:style>
  <w:style w:type="paragraph" w:styleId="963">
    <w:name w:val="table of figures"/>
    <w:basedOn w:val="784"/>
    <w:next w:val="784"/>
    <w:uiPriority w:val="99"/>
    <w:unhideWhenUsed/>
    <w:pPr>
      <w:pBdr/>
      <w:spacing w:after="0"/>
      <w:ind/>
    </w:pPr>
  </w:style>
  <w:style w:type="paragraph" w:styleId="964">
    <w:name w:val="List Paragraph"/>
    <w:basedOn w:val="784"/>
    <w:uiPriority w:val="34"/>
    <w:qFormat/>
    <w:pPr>
      <w:pBdr/>
      <w:spacing/>
      <w:ind w:left="720"/>
      <w:contextualSpacing w:val="true"/>
    </w:pPr>
  </w:style>
  <w:style w:type="paragraph" w:styleId="965" w:customStyle="1">
    <w:name w:val="0МОЙ ТЕКСТ"/>
    <w:basedOn w:val="784"/>
    <w:link w:val="967"/>
    <w:qFormat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966" w:customStyle="1">
    <w:name w:val="1ВЗС"/>
    <w:basedOn w:val="784"/>
    <w:next w:val="965"/>
    <w:link w:val="969"/>
    <w:qFormat/>
    <w:pPr>
      <w:pageBreakBefore w:val="true"/>
      <w:widowControl w:val="false"/>
      <w:pBdr/>
      <w:spacing w:after="0" w:line="360" w:lineRule="auto"/>
      <w:ind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styleId="967" w:customStyle="1">
    <w:name w:val="0МОЙ ТЕКСТ Знак"/>
    <w:basedOn w:val="794"/>
    <w:link w:val="965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968" w:customStyle="1">
    <w:name w:val="2ГЛАВЫ"/>
    <w:basedOn w:val="784"/>
    <w:next w:val="965"/>
    <w:link w:val="971"/>
    <w:qFormat/>
    <w:pPr>
      <w:pageBreakBefore w:val="true"/>
      <w:widowControl w:val="false"/>
      <w:pBdr/>
      <w:spacing w:after="0" w:line="360" w:lineRule="auto"/>
      <w:ind w:firstLine="709"/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character" w:styleId="969" w:customStyle="1">
    <w:name w:val="1ВЗС Знак"/>
    <w:basedOn w:val="794"/>
    <w:link w:val="966"/>
    <w:pPr>
      <w:pBdr/>
      <w:spacing/>
      <w:ind/>
    </w:pPr>
    <w:rPr>
      <w:rFonts w:ascii="Times New Roman" w:hAnsi="Times New Roman" w:cs="Times New Roman"/>
      <w:b/>
      <w:sz w:val="28"/>
      <w:szCs w:val="28"/>
    </w:rPr>
  </w:style>
  <w:style w:type="paragraph" w:styleId="970" w:customStyle="1">
    <w:name w:val="0МАРК"/>
    <w:basedOn w:val="965"/>
    <w:link w:val="972"/>
    <w:qFormat/>
    <w:pPr>
      <w:numPr>
        <w:ilvl w:val="0"/>
        <w:numId w:val="1"/>
      </w:numPr>
      <w:pBdr/>
      <w:tabs>
        <w:tab w:val="left" w:leader="none" w:pos="998"/>
      </w:tabs>
      <w:spacing/>
      <w:ind w:firstLine="709" w:left="0"/>
    </w:pPr>
  </w:style>
  <w:style w:type="character" w:styleId="971" w:customStyle="1">
    <w:name w:val="2ГЛАВЫ Знак"/>
    <w:basedOn w:val="794"/>
    <w:link w:val="968"/>
    <w:pPr>
      <w:pBdr/>
      <w:spacing/>
      <w:ind/>
    </w:pPr>
    <w:rPr>
      <w:rFonts w:ascii="Times New Roman" w:hAnsi="Times New Roman" w:cs="Times New Roman"/>
      <w:b/>
      <w:sz w:val="28"/>
      <w:szCs w:val="28"/>
    </w:rPr>
  </w:style>
  <w:style w:type="character" w:styleId="972" w:customStyle="1">
    <w:name w:val="0МАРК Знак"/>
    <w:basedOn w:val="967"/>
    <w:link w:val="970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table" w:styleId="973">
    <w:name w:val="Table Grid"/>
    <w:basedOn w:val="79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 w:customStyle="1">
    <w:name w:val="sc-efbctp"/>
    <w:basedOn w:val="794"/>
    <w:pPr>
      <w:pBdr/>
      <w:spacing/>
      <w:ind/>
    </w:pPr>
  </w:style>
  <w:style w:type="paragraph" w:styleId="975" w:customStyle="1">
    <w:name w:val="sc-gsapjg"/>
    <w:basedOn w:val="78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6">
    <w:name w:val="HTML Preformatted"/>
    <w:basedOn w:val="784"/>
    <w:link w:val="977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77" w:customStyle="1">
    <w:name w:val="Стандартный HTML Знак"/>
    <w:basedOn w:val="794"/>
    <w:link w:val="976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82094-6E08-4F66-BFEE-8866BE5AE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Эвелина Алексеевна</dc:creator>
  <cp:keywords/>
  <dc:description/>
  <cp:revision>3</cp:revision>
  <dcterms:created xsi:type="dcterms:W3CDTF">2025-11-27T00:58:00Z</dcterms:created>
  <dcterms:modified xsi:type="dcterms:W3CDTF">2025-11-30T12:15:28Z</dcterms:modified>
</cp:coreProperties>
</file>