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8570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sz w:val="22"/>
          <w:szCs w:val="22"/>
        </w:rPr>
        <w:t>Dear Editors,</w:t>
      </w:r>
    </w:p>
    <w:p w14:paraId="41FF0789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sz w:val="22"/>
          <w:szCs w:val="22"/>
        </w:rPr>
        <w:t xml:space="preserve">I am pleased to submit the manuscript </w:t>
      </w:r>
      <w:r w:rsidRPr="001C3611">
        <w:rPr>
          <w:rFonts w:hint="cs"/>
          <w:sz w:val="22"/>
          <w:szCs w:val="22"/>
        </w:rPr>
        <w:t>“</w:t>
      </w:r>
      <w:r w:rsidRPr="001C3611">
        <w:rPr>
          <w:sz w:val="22"/>
          <w:szCs w:val="22"/>
        </w:rPr>
        <w:t>GW190521 as a Cross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Boundary Fold Event: Interpreting a Gravitational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Wave Anomaly Through the Recursive Binary Fold Framework</w:t>
      </w:r>
      <w:r w:rsidRPr="001C3611">
        <w:rPr>
          <w:rFonts w:hint="cs"/>
          <w:sz w:val="22"/>
          <w:szCs w:val="22"/>
        </w:rPr>
        <w:t>”</w:t>
      </w:r>
      <w:r w:rsidRPr="001C3611">
        <w:rPr>
          <w:sz w:val="22"/>
          <w:szCs w:val="22"/>
        </w:rPr>
        <w:t xml:space="preserve"> for consideration in Classical and Quantum Gravity. The paper applies the Recursive Binary Fold (UFUU) framework to the gravitational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wave event GW190521 and demonstrates that a single algebraic fold operator reproduces four independent general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relativistic observables without free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parameter adjustment: the three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 xml:space="preserve">phase </w:t>
      </w:r>
      <w:proofErr w:type="spellStart"/>
      <w:r w:rsidRPr="001C3611">
        <w:rPr>
          <w:sz w:val="22"/>
          <w:szCs w:val="22"/>
        </w:rPr>
        <w:t>IMRPhenomXPHM</w:t>
      </w:r>
      <w:proofErr w:type="spellEnd"/>
      <w:r w:rsidRPr="001C3611">
        <w:rPr>
          <w:sz w:val="22"/>
          <w:szCs w:val="22"/>
        </w:rPr>
        <w:t xml:space="preserve"> waveform structure, the missing inspiral morphology, the magnitude of the Bayes factor ln</w:t>
      </w:r>
      <w:r w:rsidRPr="001C3611">
        <w:rPr>
          <w:rFonts w:ascii="Calibri" w:hAnsi="Calibri" w:cs="Calibri"/>
          <w:sz w:val="22"/>
          <w:szCs w:val="22"/>
        </w:rPr>
        <w:t> </w:t>
      </w:r>
      <w:r w:rsidRPr="001C3611">
        <w:rPr>
          <w:sz w:val="22"/>
          <w:szCs w:val="22"/>
        </w:rPr>
        <w:t>B</w:t>
      </w:r>
      <w:r w:rsidRPr="001C3611">
        <w:rPr>
          <w:rFonts w:ascii="Calibri" w:hAnsi="Calibri" w:cs="Calibri"/>
          <w:sz w:val="22"/>
          <w:szCs w:val="22"/>
        </w:rPr>
        <w:t> ≈ −</w:t>
      </w:r>
      <w:r w:rsidRPr="001C3611">
        <w:rPr>
          <w:sz w:val="22"/>
          <w:szCs w:val="22"/>
        </w:rPr>
        <w:t xml:space="preserve">2.9, and the remnant spin </w:t>
      </w:r>
      <w:proofErr w:type="spellStart"/>
      <w:r w:rsidRPr="001C3611">
        <w:rPr>
          <w:rFonts w:hint="cs"/>
          <w:sz w:val="22"/>
          <w:szCs w:val="22"/>
        </w:rPr>
        <w:t>χ</w:t>
      </w:r>
      <w:r w:rsidRPr="001C3611">
        <w:rPr>
          <w:sz w:val="22"/>
          <w:szCs w:val="22"/>
        </w:rPr>
        <w:t>f</w:t>
      </w:r>
      <w:proofErr w:type="spellEnd"/>
      <w:r w:rsidRPr="001C3611">
        <w:rPr>
          <w:sz w:val="22"/>
          <w:szCs w:val="22"/>
        </w:rPr>
        <w:t> ≈ 0.72.</w:t>
      </w:r>
    </w:p>
    <w:p w14:paraId="6FD0E82F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sz w:val="22"/>
          <w:szCs w:val="22"/>
        </w:rPr>
        <w:t xml:space="preserve">A central aim of the manuscript is to show that UFUU is not an alternative to general relativity, nor a competing </w:t>
      </w:r>
      <w:proofErr w:type="spellStart"/>
      <w:r w:rsidRPr="001C3611">
        <w:rPr>
          <w:sz w:val="22"/>
          <w:szCs w:val="22"/>
        </w:rPr>
        <w:t>quantisation</w:t>
      </w:r>
      <w:proofErr w:type="spellEnd"/>
      <w:r w:rsidRPr="001C3611">
        <w:rPr>
          <w:sz w:val="22"/>
          <w:szCs w:val="22"/>
        </w:rPr>
        <w:t xml:space="preserve"> scheme, but a generative algebraic substrate </w:t>
      </w:r>
      <w:proofErr w:type="gramStart"/>
      <w:r w:rsidRPr="001C3611">
        <w:rPr>
          <w:sz w:val="22"/>
          <w:szCs w:val="22"/>
        </w:rPr>
        <w:t>whose</w:t>
      </w:r>
      <w:proofErr w:type="gramEnd"/>
      <w:r w:rsidRPr="001C3611">
        <w:rPr>
          <w:sz w:val="22"/>
          <w:szCs w:val="22"/>
        </w:rPr>
        <w:t xml:space="preserve"> fixed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 xml:space="preserve">point </w:t>
      </w:r>
      <w:proofErr w:type="gramStart"/>
      <w:r w:rsidRPr="001C3611">
        <w:rPr>
          <w:sz w:val="22"/>
          <w:szCs w:val="22"/>
        </w:rPr>
        <w:t>equation  yields</w:t>
      </w:r>
      <w:proofErr w:type="gramEnd"/>
      <w:r w:rsidRPr="001C3611">
        <w:rPr>
          <w:sz w:val="22"/>
          <w:szCs w:val="22"/>
        </w:rPr>
        <w:t xml:space="preserve"> known GR observables in the appropriate limit. The framework does not modify the Einstein field equations; rather, it proposes that the events described by those equations </w:t>
      </w:r>
      <w:r w:rsidRPr="001C3611">
        <w:rPr>
          <w:rFonts w:hint="cs"/>
          <w:sz w:val="22"/>
          <w:szCs w:val="22"/>
        </w:rPr>
        <w:t>—</w:t>
      </w:r>
      <w:r w:rsidRPr="001C3611">
        <w:rPr>
          <w:sz w:val="22"/>
          <w:szCs w:val="22"/>
        </w:rPr>
        <w:t xml:space="preserve"> mergers, ringdowns, information budgets </w:t>
      </w:r>
      <w:r w:rsidRPr="001C3611">
        <w:rPr>
          <w:rFonts w:hint="cs"/>
          <w:sz w:val="22"/>
          <w:szCs w:val="22"/>
        </w:rPr>
        <w:t>—</w:t>
      </w:r>
      <w:r w:rsidRPr="001C3611">
        <w:rPr>
          <w:sz w:val="22"/>
          <w:szCs w:val="22"/>
        </w:rPr>
        <w:t xml:space="preserve"> arise naturally from a deeper recursive structure. The paper therefore evaluates UFUU not as a replacement for GR, but as a pre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geometric model that reproduces GR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consistent phenomenology.</w:t>
      </w:r>
    </w:p>
    <w:p w14:paraId="3C6855F9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sz w:val="22"/>
          <w:szCs w:val="22"/>
        </w:rPr>
        <w:t>Because pre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geometric approaches sometimes raise concerns about physical meaningfulness, the manuscript explicitly addresses this point. UFUU satisfies the three algebraic constraints required for directional, irreversible physical structure (non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commutativity, nonlinearity, partial irreversibility), carries Lorentz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equivalent symmetry through the M</w:t>
      </w:r>
      <w:r w:rsidRPr="001C3611">
        <w:rPr>
          <w:rFonts w:hint="cs"/>
          <w:sz w:val="22"/>
          <w:szCs w:val="22"/>
        </w:rPr>
        <w:t>ö</w:t>
      </w:r>
      <w:r w:rsidRPr="001C3611">
        <w:rPr>
          <w:sz w:val="22"/>
          <w:szCs w:val="22"/>
        </w:rPr>
        <w:t xml:space="preserve">bius fold </w:t>
      </w:r>
      <w:proofErr w:type="gramStart"/>
      <w:r w:rsidRPr="001C3611">
        <w:rPr>
          <w:sz w:val="22"/>
          <w:szCs w:val="22"/>
        </w:rPr>
        <w:t>candidate ,</w:t>
      </w:r>
      <w:proofErr w:type="gramEnd"/>
      <w:r w:rsidRPr="001C3611">
        <w:rPr>
          <w:sz w:val="22"/>
          <w:szCs w:val="22"/>
        </w:rPr>
        <w:t xml:space="preserve"> and produces falsifiable predictions. In particular:</w:t>
      </w:r>
    </w:p>
    <w:p w14:paraId="09B717E3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rFonts w:hint="cs"/>
          <w:sz w:val="22"/>
          <w:szCs w:val="22"/>
        </w:rPr>
        <w:t>•</w:t>
      </w:r>
      <w:r w:rsidRPr="001C3611">
        <w:rPr>
          <w:sz w:val="22"/>
          <w:szCs w:val="22"/>
        </w:rPr>
        <w:t xml:space="preserve"> </w:t>
      </w:r>
      <w:r w:rsidRPr="001C3611">
        <w:rPr>
          <w:sz w:val="22"/>
          <w:szCs w:val="22"/>
        </w:rPr>
        <w:tab/>
        <w:t xml:space="preserve">The entropy monotonicity prediction P4 yields a computable throat transmission </w:t>
      </w:r>
      <w:proofErr w:type="gramStart"/>
      <w:r w:rsidRPr="001C3611">
        <w:rPr>
          <w:sz w:val="22"/>
          <w:szCs w:val="22"/>
        </w:rPr>
        <w:t>coefficient ,</w:t>
      </w:r>
      <w:proofErr w:type="gramEnd"/>
      <w:r w:rsidRPr="001C3611">
        <w:rPr>
          <w:sz w:val="22"/>
          <w:szCs w:val="22"/>
        </w:rPr>
        <w:t xml:space="preserve"> linking the observed Bayes factor directly to fold irreversibility.</w:t>
      </w:r>
    </w:p>
    <w:p w14:paraId="501C1E8E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rFonts w:hint="cs"/>
          <w:sz w:val="22"/>
          <w:szCs w:val="22"/>
        </w:rPr>
        <w:t>•</w:t>
      </w:r>
      <w:r w:rsidRPr="001C3611">
        <w:rPr>
          <w:sz w:val="22"/>
          <w:szCs w:val="22"/>
        </w:rPr>
        <w:t xml:space="preserve"> </w:t>
      </w:r>
      <w:r w:rsidRPr="001C3611">
        <w:rPr>
          <w:sz w:val="22"/>
          <w:szCs w:val="22"/>
        </w:rPr>
        <w:tab/>
        <w:t>The M</w:t>
      </w:r>
      <w:r w:rsidRPr="001C3611">
        <w:rPr>
          <w:rFonts w:hint="cs"/>
          <w:sz w:val="22"/>
          <w:szCs w:val="22"/>
        </w:rPr>
        <w:t>ö</w:t>
      </w:r>
      <w:r w:rsidRPr="001C3611">
        <w:rPr>
          <w:sz w:val="22"/>
          <w:szCs w:val="22"/>
        </w:rPr>
        <w:t>bius fold</w:t>
      </w:r>
      <w:r w:rsidRPr="001C3611">
        <w:rPr>
          <w:rFonts w:hint="cs"/>
          <w:sz w:val="22"/>
          <w:szCs w:val="22"/>
        </w:rPr>
        <w:t>’</w:t>
      </w:r>
      <w:r w:rsidRPr="001C3611">
        <w:rPr>
          <w:sz w:val="22"/>
          <w:szCs w:val="22"/>
        </w:rPr>
        <w:t>s non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 xml:space="preserve">commutativity invariant predicts preservation of the remnant spin </w:t>
      </w:r>
      <w:proofErr w:type="spellStart"/>
      <w:r w:rsidRPr="001C3611">
        <w:rPr>
          <w:rFonts w:hint="cs"/>
          <w:sz w:val="22"/>
          <w:szCs w:val="22"/>
        </w:rPr>
        <w:t>χ</w:t>
      </w:r>
      <w:r w:rsidRPr="001C3611">
        <w:rPr>
          <w:sz w:val="22"/>
          <w:szCs w:val="22"/>
        </w:rPr>
        <w:t>f</w:t>
      </w:r>
      <w:proofErr w:type="spellEnd"/>
      <w:r w:rsidRPr="001C3611">
        <w:rPr>
          <w:sz w:val="22"/>
          <w:szCs w:val="22"/>
        </w:rPr>
        <w:t xml:space="preserve"> across any subsequent echo pulses.</w:t>
      </w:r>
    </w:p>
    <w:p w14:paraId="61CD052D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rFonts w:hint="cs"/>
          <w:sz w:val="22"/>
          <w:szCs w:val="22"/>
        </w:rPr>
        <w:t>•</w:t>
      </w:r>
      <w:r w:rsidRPr="001C3611">
        <w:rPr>
          <w:sz w:val="22"/>
          <w:szCs w:val="22"/>
        </w:rPr>
        <w:t xml:space="preserve"> </w:t>
      </w:r>
      <w:r w:rsidRPr="001C3611">
        <w:rPr>
          <w:sz w:val="22"/>
          <w:szCs w:val="22"/>
        </w:rPr>
        <w:tab/>
        <w:t>Extending the Lai et al. echo model to a Kerr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 xml:space="preserve">wormhole setup incorporating </w:t>
      </w:r>
      <w:proofErr w:type="spellStart"/>
      <w:r w:rsidRPr="001C3611">
        <w:rPr>
          <w:rFonts w:hint="cs"/>
          <w:sz w:val="22"/>
          <w:szCs w:val="22"/>
        </w:rPr>
        <w:t>χ</w:t>
      </w:r>
      <w:r w:rsidRPr="001C3611">
        <w:rPr>
          <w:sz w:val="22"/>
          <w:szCs w:val="22"/>
        </w:rPr>
        <w:t>f</w:t>
      </w:r>
      <w:proofErr w:type="spellEnd"/>
      <w:r w:rsidRPr="001C3611">
        <w:rPr>
          <w:sz w:val="22"/>
          <w:szCs w:val="22"/>
        </w:rPr>
        <w:t xml:space="preserve"> = 0.72 should </w:t>
      </w:r>
      <w:proofErr w:type="gramStart"/>
      <w:r w:rsidRPr="001C3611">
        <w:rPr>
          <w:sz w:val="22"/>
          <w:szCs w:val="22"/>
        </w:rPr>
        <w:t>reduce ,</w:t>
      </w:r>
      <w:proofErr w:type="gramEnd"/>
      <w:r w:rsidRPr="001C3611">
        <w:rPr>
          <w:sz w:val="22"/>
          <w:szCs w:val="22"/>
        </w:rPr>
        <w:t xml:space="preserve"> providing an immediate empirical test.</w:t>
      </w:r>
    </w:p>
    <w:p w14:paraId="114C7627" w14:textId="77777777" w:rsidR="001C3611" w:rsidRPr="001C3611" w:rsidRDefault="001C3611" w:rsidP="001C3611">
      <w:pPr>
        <w:rPr>
          <w:sz w:val="22"/>
          <w:szCs w:val="22"/>
        </w:rPr>
      </w:pPr>
      <w:r w:rsidRPr="001C3611">
        <w:rPr>
          <w:sz w:val="22"/>
          <w:szCs w:val="22"/>
        </w:rPr>
        <w:t xml:space="preserve">These predictions ensure that the framework is decisively testable with current and forthcoming LVK data. The manuscript also includes a numerical validation of the fold attractor structure and a lower bound on the fold information </w:t>
      </w:r>
      <w:proofErr w:type="gramStart"/>
      <w:r w:rsidRPr="001C3611">
        <w:rPr>
          <w:sz w:val="22"/>
          <w:szCs w:val="22"/>
        </w:rPr>
        <w:t>content ,</w:t>
      </w:r>
      <w:proofErr w:type="gramEnd"/>
      <w:r w:rsidRPr="001C3611">
        <w:rPr>
          <w:sz w:val="22"/>
          <w:szCs w:val="22"/>
        </w:rPr>
        <w:t xml:space="preserve"> confirming that the throat transmission coefficient inferred from the observed ln B lies in the physically allowed range.</w:t>
      </w:r>
    </w:p>
    <w:p w14:paraId="5CBB45F0" w14:textId="3D5D71BD" w:rsidR="001C3611" w:rsidRPr="001C3611" w:rsidRDefault="001C3611" w:rsidP="001C3611">
      <w:pPr>
        <w:rPr>
          <w:sz w:val="22"/>
          <w:szCs w:val="22"/>
        </w:rPr>
      </w:pPr>
      <w:r w:rsidRPr="001C3611">
        <w:rPr>
          <w:sz w:val="22"/>
          <w:szCs w:val="22"/>
        </w:rPr>
        <w:t>The paper is written to be fully self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contained, with all derivations explicit and all assumptions stated clearly. I believe it will be of interest to readers working on gravitational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wave phenomenology, exotic compact objects, information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theoretic approaches to gravity, and pre</w:t>
      </w:r>
      <w:r w:rsidRPr="001C3611">
        <w:rPr>
          <w:rFonts w:ascii="Cambria Math" w:hAnsi="Cambria Math" w:cs="Cambria Math"/>
          <w:sz w:val="22"/>
          <w:szCs w:val="22"/>
        </w:rPr>
        <w:t>‑</w:t>
      </w:r>
      <w:r w:rsidRPr="001C3611">
        <w:rPr>
          <w:sz w:val="22"/>
          <w:szCs w:val="22"/>
        </w:rPr>
        <w:t>geometric models of spacetime.</w:t>
      </w:r>
    </w:p>
    <w:sectPr w:rsidR="001C3611" w:rsidRPr="001C3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611"/>
    <w:rsid w:val="001C3611"/>
    <w:rsid w:val="0063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ADFE"/>
  <w15:chartTrackingRefBased/>
  <w15:docId w15:val="{87AB207B-7E66-4FD9-8043-747A02679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373</Words>
  <Characters>2417</Characters>
  <Application>Microsoft Office Word</Application>
  <DocSecurity>0</DocSecurity>
  <Lines>33</Lines>
  <Paragraphs>9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Tuttle</dc:creator>
  <cp:keywords/>
  <dc:description/>
  <cp:lastModifiedBy>Jason Tuttle</cp:lastModifiedBy>
  <cp:revision>1</cp:revision>
  <dcterms:created xsi:type="dcterms:W3CDTF">2026-04-29T02:54:00Z</dcterms:created>
  <dcterms:modified xsi:type="dcterms:W3CDTF">2026-04-29T02:56:00Z</dcterms:modified>
</cp:coreProperties>
</file>