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F3864"/>
          <w:sz w:val="36"/>
          <w:szCs w:val="36"/>
        </w:rPr>
        <w:t xml:space="preserve">UFUU as a Theoretical Foundation for</w:t>
      </w:r>
    </w:p>
    <w:p>
      <w:pPr>
        <w:spacing w:after="80" w:before="0"/>
        <w:jc w:val="center"/>
      </w:pPr>
      <w:r>
        <w:rPr>
          <w:rFonts w:ascii="Arial" w:cs="Arial" w:eastAsia="Arial" w:hAnsi="Arial"/>
          <w:b/>
          <w:bCs/>
          <w:color w:val="1F3864"/>
          <w:sz w:val="36"/>
          <w:szCs w:val="36"/>
        </w:rPr>
        <w:t xml:space="preserve">Brain Emulation Benchmarking</w:t>
      </w:r>
    </w:p>
    <w:p>
      <w:pPr>
        <w:spacing w:after="60" w:before="80"/>
        <w:jc w:val="center"/>
      </w:pPr>
      <w:r>
        <w:rPr>
          <w:rFonts w:ascii="Arial" w:cs="Arial" w:eastAsia="Arial" w:hAnsi="Arial"/>
          <w:i/>
          <w:iCs/>
          <w:color w:val="444444"/>
          <w:sz w:val="22"/>
          <w:szCs w:val="22"/>
        </w:rPr>
        <w:t xml:space="preserve">A Response to Freeman (2026): "From Worm to Human: Scaling Brain Emulation"</w:t>
      </w:r>
    </w:p>
    <w:p>
      <w:pPr>
        <w:spacing w:after="60" w:before="60"/>
        <w:jc w:val="center"/>
      </w:pPr>
      <w:r>
        <w:rPr>
          <w:rFonts w:ascii="Arial" w:cs="Arial" w:eastAsia="Arial" w:hAnsi="Arial"/>
          <w:b/>
          <w:bCs/>
          <w:color w:val="1F3864"/>
          <w:sz w:val="24"/>
          <w:szCs w:val="24"/>
        </w:rPr>
        <w:t xml:space="preserve">W. Jason Tuttle</w:t>
      </w:r>
    </w:p>
    <w:p>
      <w:pPr>
        <w:spacing w:after="40" w:before="40"/>
        <w:jc w:val="center"/>
      </w:pPr>
      <w:r>
        <w:rPr>
          <w:rFonts w:ascii="Arial" w:cs="Arial" w:eastAsia="Arial" w:hAnsi="Arial"/>
          <w:color w:val="555555"/>
          <w:sz w:val="20"/>
          <w:szCs w:val="20"/>
        </w:rPr>
        <w:t xml:space="preserve">Independent Researcher, Lenoir City, Tennessee</w:t>
      </w:r>
    </w:p>
    <w:p>
      <w:pPr>
        <w:spacing w:after="40" w:before="40"/>
        <w:jc w:val="center"/>
      </w:pPr>
      <w:r>
        <w:rPr>
          <w:rFonts w:ascii="Arial" w:cs="Arial" w:eastAsia="Arial" w:hAnsi="Arial"/>
          <w:color w:val="555555"/>
          <w:sz w:val="19"/>
          <w:szCs w:val="19"/>
        </w:rPr>
        <w:t xml:space="preserve">ORCID: 0009-0003-3830-0551  |  william.tuttle@waldenu.edu  |  April 2026</w:t>
      </w:r>
    </w:p>
    <w:p>
      <w:pPr>
        <w:spacing w:after="60" w:before="40"/>
        <w:jc w:val="center"/>
      </w:pPr>
      <w:r>
        <w:rPr>
          <w:rFonts w:ascii="Arial" w:cs="Arial" w:eastAsia="Arial" w:hAnsi="Arial"/>
          <w:i/>
          <w:iCs/>
          <w:color w:val="555555"/>
          <w:sz w:val="18"/>
          <w:szCs w:val="18"/>
        </w:rPr>
        <w:t xml:space="preserve">Companion to: Tuttle (2026a) U = F(U,U): The Recursive Binary Fold as the Theory of Everything; Tuttle (2026b) Recursive Fold Architectures for Self-Generating Systems</w:t>
      </w:r>
    </w:p>
    <w:p>
      <w:pPr>
        <w:pBdr>
          <w:bottom w:val="single" w:color="1F3864" w:sz="10" w:space="1"/>
        </w:pBdr>
        <w:spacing w:after="40" w:before="40"/>
      </w:pPr>
    </w:p>
    <w:p>
      <w:pPr>
        <w:spacing w:after="80" w:before="120"/>
      </w:pPr>
      <w:r>
        <w:t xml:space="preserve"/>
      </w:r>
    </w:p>
    <w:p>
      <w:pPr>
        <w:pStyle w:val="Heading1"/>
        <w:spacing w:after="200" w:before="420"/>
      </w:pPr>
      <w:r>
        <w:rPr>
          <w:rFonts w:ascii="Arial" w:cs="Arial" w:eastAsia="Arial" w:hAnsi="Arial"/>
          <w:b/>
          <w:bCs/>
          <w:color w:val="1F3864"/>
          <w:sz w:val="32"/>
          <w:szCs w:val="32"/>
        </w:rPr>
        <w:t xml:space="preserve">Abstract</w:t>
      </w:r>
    </w:p>
    <w:p>
      <w:pPr>
        <w:spacing w:after="100" w:before="100" w:line="276"/>
        <w:jc w:val="both"/>
      </w:pPr>
      <w:r>
        <w:rPr>
          <w:rFonts w:ascii="Arial" w:cs="Arial" w:eastAsia="Arial" w:hAnsi="Arial"/>
          <w:b w:val="false"/>
          <w:bCs w:val="false"/>
          <w:i w:val="false"/>
          <w:iCs w:val="false"/>
          <w:color w:val="111111"/>
          <w:sz w:val="22"/>
          <w:szCs w:val="22"/>
        </w:rPr>
        <w:t xml:space="preserve">Freeman (2026) identifies the structure-to-function gap — the absence of a principled theoretical framework for translating static connectomic data into dynamic neural simulation — as the central unsolved problem in brain emulation. He further identifies three subsidiary open problems: (i) the absence of theoretically grounded benchmarks for chaotic and stochastic neural dynamics; (ii) the unexplained empirical success of minimal models (leaky integrate-and-fire neurons with no molecular data) in reproducing complex behavior; and (iii) the lack of a theoretical basis for choosing which distributional metrics capture the functional essence of neural computation. We demonstrate that the UFUU recursive binary fold framework — formalised in Tuttle (2026a,b) — provides direct theoretical answers to each of these problems. Specifically: the structure-to-function gap is resolved by identifying functional brain states as fixed points of the fold operator F acting on the connectome-parametrised binary tree; the benchmark problem is resolved by the UFUU entropy monotonicity prediction (P4), which provides a principled choice of distributional metric; and the success of minimal models is explained by the topological invariance of fold fixed points under perturbation of node-level parameters. We state four falsifiable predictions derivable from this synthesis and propose a concrete UFUU-grounded benchmark protocol for the ZAPBench and embodied Turing test frameworks.</w:t>
      </w:r>
    </w:p>
    <w:p>
      <w:pPr>
        <w:spacing w:after="40" w:before="80"/>
      </w:pPr>
      <w:r>
        <w:t xml:space="preserve"/>
      </w:r>
    </w:p>
    <w:p>
      <w:pPr>
        <w:pBdr>
          <w:bottom w:val="single" w:color="2E75B6" w:sz="6" w:space="1"/>
        </w:pBdr>
        <w:spacing w:after="40" w:before="40"/>
      </w:pPr>
    </w:p>
    <w:p>
      <w:pPr>
        <w:pStyle w:val="Heading1"/>
        <w:spacing w:after="200" w:before="420"/>
      </w:pPr>
      <w:r>
        <w:rPr>
          <w:rFonts w:ascii="Arial" w:cs="Arial" w:eastAsia="Arial" w:hAnsi="Arial"/>
          <w:b/>
          <w:bCs/>
          <w:color w:val="1F3864"/>
          <w:sz w:val="32"/>
          <w:szCs w:val="32"/>
        </w:rPr>
        <w:t xml:space="preserve">1.  Introduction</w:t>
      </w:r>
    </w:p>
    <w:p>
      <w:pPr>
        <w:spacing w:after="100" w:before="100" w:line="276"/>
        <w:jc w:val="both"/>
      </w:pPr>
      <w:r>
        <w:rPr>
          <w:rFonts w:ascii="Arial" w:cs="Arial" w:eastAsia="Arial" w:hAnsi="Arial"/>
          <w:b w:val="false"/>
          <w:bCs w:val="false"/>
          <w:i w:val="false"/>
          <w:iCs w:val="false"/>
          <w:color w:val="111111"/>
          <w:sz w:val="22"/>
          <w:szCs w:val="22"/>
        </w:rPr>
        <w:t xml:space="preserve">Freeman's 2026 MIT thesis is the most comprehensive survey of brain emulation feasibility produced to date. Its central contribution — translating connectomics, functional imaging, and simulation hardware into common units of feasibility — makes the interdependencies of the field visible for the first time. The thesis is, however, explicit about what it cannot provide:</w:t>
      </w:r>
    </w:p>
    <w:p>
      <w:pPr>
        <w:spacing w:after="40" w:before="60"/>
      </w:pPr>
      <w:r>
        <w:t xml:space="preserve"/>
      </w:r>
    </w:p>
    <w:p>
      <w:pPr>
        <w:pBdr>
          <w:left w:val="single" w:color="2E75B6" w:sz="12" w:space="12"/>
        </w:pBdr>
        <w:spacing w:after="140" w:before="140" w:line="260"/>
        <w:ind w:left="720" w:right="720"/>
        <w:jc w:val="both"/>
      </w:pPr>
      <w:r>
        <w:rPr>
          <w:rFonts w:ascii="Arial" w:cs="Arial" w:eastAsia="Arial" w:hAnsi="Arial"/>
          <w:i/>
          <w:iCs/>
          <w:color w:val="333333"/>
          <w:sz w:val="20"/>
          <w:szCs w:val="20"/>
        </w:rPr>
        <w:t xml:space="preserve">"The space of possible metrics is effectively unbounded, and we do not yet know which metrics best capture the functional essence of brain computation — a situation unlike protein structure prediction or weather forecasting, where success criteria are well defined." — Freeman (2026), p. 60</w:t>
      </w:r>
    </w:p>
    <w:p>
      <w:pPr>
        <w:spacing w:after="60" w:before="60"/>
      </w:pPr>
      <w:r>
        <w:t xml:space="preserve"/>
      </w:r>
    </w:p>
    <w:p>
      <w:pPr>
        <w:pBdr>
          <w:left w:val="single" w:color="2E75B6" w:sz="12" w:space="12"/>
        </w:pBdr>
        <w:spacing w:after="140" w:before="140" w:line="260"/>
        <w:ind w:left="720" w:right="720"/>
        <w:jc w:val="both"/>
      </w:pPr>
      <w:r>
        <w:rPr>
          <w:rFonts w:ascii="Arial" w:cs="Arial" w:eastAsia="Arial" w:hAnsi="Arial"/>
          <w:i/>
          <w:iCs/>
          <w:color w:val="333333"/>
          <w:sz w:val="20"/>
          <w:szCs w:val="20"/>
        </w:rPr>
        <w:t xml:space="preserve">"Moving from structure to function is a challenge... A 2019 review attributed the lack of a successful simulation of C. elegans — the most well-characterised model organism, connectomics-wise — at least partially due to the lack of neurophysiological data." — Freeman (2026), p. 38</w:t>
      </w:r>
    </w:p>
    <w:p>
      <w:pPr>
        <w:spacing w:after="100" w:before="60"/>
      </w:pPr>
      <w:r>
        <w:t xml:space="preserve"/>
      </w:r>
    </w:p>
    <w:p>
      <w:pPr>
        <w:spacing w:after="100" w:before="100" w:line="276"/>
        <w:jc w:val="both"/>
      </w:pPr>
      <w:r>
        <w:rPr>
          <w:rFonts w:ascii="Arial" w:cs="Arial" w:eastAsia="Arial" w:hAnsi="Arial"/>
          <w:b w:val="false"/>
          <w:bCs w:val="false"/>
          <w:i w:val="false"/>
          <w:iCs w:val="false"/>
          <w:color w:val="111111"/>
          <w:sz w:val="22"/>
          <w:szCs w:val="22"/>
        </w:rPr>
        <w:t xml:space="preserve">These are not engineering gaps — they are theoretical gaps. Freeman has correctly identified that brain emulation lacks a unifying mathematical framework that could: specify which aspects of neural structure are causally necessary for function; derive which distributional metrics are theoretically motivated rather than empirically convenient; and explain why topologically faithful but biophysically simplified models reproduce behavior.</w:t>
      </w:r>
    </w:p>
    <w:p>
      <w:pPr>
        <w:spacing w:after="80" w:before="80"/>
      </w:pPr>
      <w:r>
        <w:t xml:space="preserve"/>
      </w:r>
    </w:p>
    <w:p>
      <w:pPr>
        <w:spacing w:after="100" w:before="100" w:line="276"/>
        <w:jc w:val="both"/>
      </w:pPr>
      <w:r>
        <w:rPr>
          <w:rFonts w:ascii="Arial" w:cs="Arial" w:eastAsia="Arial" w:hAnsi="Arial"/>
          <w:b w:val="false"/>
          <w:bCs w:val="false"/>
          <w:i w:val="false"/>
          <w:iCs w:val="false"/>
          <w:color w:val="111111"/>
          <w:sz w:val="22"/>
          <w:szCs w:val="22"/>
        </w:rPr>
        <w:t xml:space="preserve">The UFUU framework — the recursive binary fold U = F(U,U) with the constraint algebra of Tuttle's Triad (non-commutativity, nonlinearity, partial irreversibility) — provides exactly this framework. This paper develops the correspondence systematically.</w:t>
      </w:r>
    </w:p>
    <w:p>
      <w:pPr>
        <w:spacing w:after="40" w:before="80"/>
      </w:pPr>
      <w:r>
        <w:t xml:space="preserve"/>
      </w:r>
    </w:p>
    <w:p>
      <w:pPr>
        <w:pBdr>
          <w:bottom w:val="single" w:color="2E75B6" w:sz="6" w:space="1"/>
        </w:pBdr>
        <w:spacing w:after="40" w:before="40"/>
      </w:pPr>
    </w:p>
    <w:p>
      <w:pPr>
        <w:pStyle w:val="Heading1"/>
        <w:spacing w:after="200" w:before="420"/>
      </w:pPr>
      <w:r>
        <w:rPr>
          <w:rFonts w:ascii="Arial" w:cs="Arial" w:eastAsia="Arial" w:hAnsi="Arial"/>
          <w:b/>
          <w:bCs/>
          <w:color w:val="1F3864"/>
          <w:sz w:val="32"/>
          <w:szCs w:val="32"/>
        </w:rPr>
        <w:t xml:space="preserve">2.  The UFUU Framework: Summary</w:t>
      </w:r>
    </w:p>
    <w:p>
      <w:pPr>
        <w:spacing w:after="100" w:before="100" w:line="276"/>
        <w:jc w:val="both"/>
      </w:pPr>
      <w:r>
        <w:rPr>
          <w:rFonts w:ascii="Arial" w:cs="Arial" w:eastAsia="Arial" w:hAnsi="Arial"/>
          <w:b w:val="false"/>
          <w:bCs w:val="false"/>
          <w:i w:val="false"/>
          <w:iCs w:val="false"/>
          <w:color w:val="111111"/>
          <w:sz w:val="22"/>
          <w:szCs w:val="22"/>
        </w:rPr>
        <w:t xml:space="preserve">The central claim of Tuttle (2026a) is that any structured reality — any system containing at least one distinction — necessarily instantiates a recursive binary fold. The totality U satisfies:</w:t>
      </w:r>
    </w:p>
    <w:p>
      <w:pPr>
        <w:spacing w:after="180" w:before="180"/>
        <w:jc w:val="center"/>
      </w:pPr>
      <w:r>
        <w:rPr>
          <w:rFonts w:ascii="Cambria Math" w:cs="Cambria Math" w:eastAsia="Cambria Math" w:hAnsi="Cambria Math"/>
          <w:i/>
          <w:iCs/>
          <w:color w:val="1F3864"/>
          <w:sz w:val="23"/>
          <w:szCs w:val="23"/>
        </w:rPr>
        <w:t xml:space="preserve">U  =  F(U, U)</w:t>
      </w:r>
      <w:r>
        <w:rPr>
          <w:rFonts w:ascii="Arial" w:cs="Arial" w:eastAsia="Arial" w:hAnsi="Arial"/>
          <w:color w:val="666666"/>
          <w:sz w:val="20"/>
          <w:szCs w:val="20"/>
        </w:rPr>
        <w:t xml:space="preserve">     (2.1)</w:t>
      </w:r>
    </w:p>
    <w:p>
      <w:pPr>
        <w:spacing w:after="100" w:before="100" w:line="276"/>
        <w:jc w:val="both"/>
      </w:pPr>
      <w:r>
        <w:rPr>
          <w:rFonts w:ascii="Arial" w:cs="Arial" w:eastAsia="Arial" w:hAnsi="Arial"/>
          <w:b w:val="false"/>
          <w:bCs w:val="false"/>
          <w:i w:val="false"/>
          <w:iCs w:val="false"/>
          <w:color w:val="111111"/>
          <w:sz w:val="22"/>
          <w:szCs w:val="22"/>
        </w:rPr>
        <w:t xml:space="preserve">The operational form (Tuttle 2026b) is the recursive binary tree S(d, path):</w:t>
      </w:r>
    </w:p>
    <w:p>
      <w:pPr>
        <w:spacing w:after="180" w:before="180"/>
        <w:jc w:val="center"/>
      </w:pPr>
      <w:r>
        <w:rPr>
          <w:rFonts w:ascii="Cambria Math" w:cs="Cambria Math" w:eastAsia="Cambria Math" w:hAnsi="Cambria Math"/>
          <w:i/>
          <w:iCs/>
          <w:color w:val="1F3864"/>
          <w:sz w:val="23"/>
          <w:szCs w:val="23"/>
        </w:rPr>
        <w:t xml:space="preserve">S(d, path):  if d = 0: return c(path)</w:t>
      </w:r>
      <w:r>
        <w:rPr>
          <w:rFonts w:ascii="Arial" w:cs="Arial" w:eastAsia="Arial" w:hAnsi="Arial"/>
          <w:color w:val="666666"/>
          <w:sz w:val="20"/>
          <w:szCs w:val="20"/>
        </w:rPr>
        <w:t xml:space="preserve">     (2.2)</w:t>
      </w:r>
    </w:p>
    <w:p>
      <w:pPr>
        <w:spacing w:after="180" w:before="180"/>
        <w:jc w:val="center"/>
      </w:pPr>
      <w:r>
        <w:rPr>
          <w:rFonts w:ascii="Cambria Math" w:cs="Cambria Math" w:eastAsia="Cambria Math" w:hAnsi="Cambria Math"/>
          <w:i/>
          <w:iCs/>
          <w:color w:val="1F3864"/>
          <w:sz w:val="23"/>
          <w:szCs w:val="23"/>
        </w:rPr>
        <w:t xml:space="preserve">left ← S(d−1, path+“0”);   right ← S(d−1, path+“1”)</w:t>
      </w:r>
    </w:p>
    <w:p>
      <w:pPr>
        <w:spacing w:after="180" w:before="180"/>
        <w:jc w:val="center"/>
      </w:pPr>
      <w:r>
        <w:rPr>
          <w:rFonts w:ascii="Cambria Math" w:cs="Cambria Math" w:eastAsia="Cambria Math" w:hAnsi="Cambria Math"/>
          <w:i/>
          <w:iCs/>
          <w:color w:val="1F3864"/>
          <w:sz w:val="23"/>
          <w:szCs w:val="23"/>
        </w:rPr>
        <w:t xml:space="preserve">return F(left, right)</w:t>
      </w:r>
    </w:p>
    <w:p>
      <w:pPr>
        <w:spacing w:after="100" w:before="100" w:line="276"/>
        <w:jc w:val="both"/>
      </w:pPr>
      <w:r>
        <w:rPr>
          <w:rFonts w:ascii="Arial" w:cs="Arial" w:eastAsia="Arial" w:hAnsi="Arial"/>
          <w:b w:val="false"/>
          <w:bCs w:val="false"/>
          <w:i w:val="false"/>
          <w:iCs w:val="false"/>
          <w:color w:val="111111"/>
          <w:sz w:val="22"/>
          <w:szCs w:val="22"/>
        </w:rPr>
        <w:t xml:space="preserve">For the system to generate structured reality with directionality, differentiation, and irreversible history, Tuttle's Triad of constraints must hold simultaneously:</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4680"/>
      </w:tblGrid>
      <w:tr>
        <w:tc>
          <w:tcPr>
            <w:tcW w:type="dxa" w:w="1800"/>
            <w:tcBorders>
              <w:top w:val="single" w:color="1F3864" w:sz="4"/>
              <w:left w:val="single" w:color="CCCCCC" w:sz="1"/>
              <w:bottom w:val="single" w:color="1F3864" w:sz="4"/>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2880"/>
            <w:tcBorders>
              <w:top w:val="single" w:color="1F3864" w:sz="4"/>
              <w:left w:val="single" w:color="CCCCCC" w:sz="1"/>
              <w:bottom w:val="single" w:color="1F3864" w:sz="4"/>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Formal condition</w:t>
            </w:r>
          </w:p>
        </w:tc>
        <w:tc>
          <w:tcPr>
            <w:tcW w:type="dxa" w:w="4680"/>
            <w:tcBorders>
              <w:top w:val="single" w:color="1F3864" w:sz="4"/>
              <w:left w:val="single" w:color="CCCCCC" w:sz="1"/>
              <w:bottom w:val="single" w:color="1F3864" w:sz="4"/>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Physical meaning</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19"/>
                <w:szCs w:val="19"/>
              </w:rPr>
              <w:t xml:space="preserve">Non-commutativity</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19"/>
                <w:szCs w:val="19"/>
              </w:rPr>
              <w:t xml:space="preserve">F(a,b) ≠ F(b,a)</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19"/>
                <w:szCs w:val="19"/>
              </w:rPr>
              <w:t xml:space="preserve">Order matters: temporal asymmetry, causal direction, chirality</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19"/>
                <w:szCs w:val="19"/>
              </w:rPr>
              <w:t xml:space="preserve">Nonlinearity</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19"/>
                <w:szCs w:val="19"/>
              </w:rPr>
              <w:t xml:space="preserve">F(αa+βb, c) ≠ αF(a,c)+βF(b,c)</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19"/>
                <w:szCs w:val="19"/>
              </w:rPr>
              <w:t xml:space="preserve">Cannot be decomposed: necessary condition for bound states and phase transitions</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19"/>
                <w:szCs w:val="19"/>
              </w:rPr>
              <w:t xml:space="preserve">Partial irreversibility</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19"/>
                <w:szCs w:val="19"/>
              </w:rPr>
              <w:t xml:space="preserve">r = I/H ∈ (0,1)</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19"/>
                <w:szCs w:val="19"/>
              </w:rPr>
              <w:t xml:space="preserve">0 &lt; r &lt; 1: arrow of time, persistent structure, information loss</w:t>
            </w:r>
          </w:p>
        </w:tc>
      </w:tr>
    </w:tbl>
    <w:p>
      <w:pPr>
        <w:spacing w:after="80" w:before="120"/>
      </w:pPr>
      <w:r>
        <w:t xml:space="preserve"/>
      </w:r>
    </w:p>
    <w:p>
      <w:pPr>
        <w:spacing w:after="100" w:before="100" w:line="276"/>
        <w:jc w:val="both"/>
      </w:pPr>
      <w:r>
        <w:rPr>
          <w:rFonts w:ascii="Arial" w:cs="Arial" w:eastAsia="Arial" w:hAnsi="Arial"/>
          <w:b w:val="false"/>
          <w:bCs w:val="false"/>
          <w:i w:val="false"/>
          <w:iCs w:val="false"/>
          <w:color w:val="111111"/>
          <w:sz w:val="22"/>
          <w:szCs w:val="22"/>
        </w:rPr>
        <w:t xml:space="preserve">The irreversibility parameter r = I/H — the ratio of mutual information I(inputs; output) to total input entropy H(inputs) — is measurable from the fold's output distribution and appears directly in the entropy monotonicity prediction P4. Its relationship to the Bayes factor observed in GW190521 (ln B = −2.9 = −I_F·(1−T), where T = 2−r) has been established in Tuttle (2026a, Section 5).</w:t>
      </w:r>
    </w:p>
    <w:p>
      <w:pPr>
        <w:spacing w:after="40" w:before="80"/>
      </w:pPr>
      <w:r>
        <w:t xml:space="preserve"/>
      </w:r>
    </w:p>
    <w:p>
      <w:pPr>
        <w:pBdr>
          <w:bottom w:val="single" w:color="2E75B6" w:sz="6" w:space="1"/>
        </w:pBdr>
        <w:spacing w:after="40" w:before="40"/>
      </w:pPr>
    </w:p>
    <w:p>
      <w:pPr>
        <w:pStyle w:val="Heading1"/>
        <w:spacing w:after="200" w:before="420"/>
      </w:pPr>
      <w:r>
        <w:rPr>
          <w:rFonts w:ascii="Arial" w:cs="Arial" w:eastAsia="Arial" w:hAnsi="Arial"/>
          <w:b/>
          <w:bCs/>
          <w:color w:val="1F3864"/>
          <w:sz w:val="32"/>
          <w:szCs w:val="32"/>
        </w:rPr>
        <w:t xml:space="preserve">3.  Resolving the Structure-to-Function Gap</w:t>
      </w:r>
    </w:p>
    <w:p>
      <w:pPr>
        <w:pStyle w:val="Heading2"/>
        <w:spacing w:after="140" w:before="300"/>
      </w:pPr>
      <w:r>
        <w:rPr>
          <w:rFonts w:ascii="Arial" w:cs="Arial" w:eastAsia="Arial" w:hAnsi="Arial"/>
          <w:b/>
          <w:bCs/>
          <w:color w:val="2E75B6"/>
          <w:sz w:val="26"/>
          <w:szCs w:val="26"/>
        </w:rPr>
        <w:t xml:space="preserve">3.1  The Gap as Freeman Defines It</w:t>
      </w:r>
    </w:p>
    <w:p>
      <w:pPr>
        <w:spacing w:after="100" w:before="100" w:line="276"/>
        <w:jc w:val="both"/>
      </w:pPr>
      <w:r>
        <w:rPr>
          <w:rFonts w:ascii="Arial" w:cs="Arial" w:eastAsia="Arial" w:hAnsi="Arial"/>
          <w:b w:val="false"/>
          <w:bCs w:val="false"/>
          <w:i w:val="false"/>
          <w:iCs w:val="false"/>
          <w:color w:val="111111"/>
          <w:sz w:val="22"/>
          <w:szCs w:val="22"/>
        </w:rPr>
        <w:t xml:space="preserve">Freeman's structure-to-function gap can be stated precisely. A connectome C is a directed weighted graph:</w:t>
      </w:r>
    </w:p>
    <w:p>
      <w:pPr>
        <w:spacing w:after="180" w:before="180"/>
        <w:jc w:val="center"/>
      </w:pPr>
      <w:r>
        <w:rPr>
          <w:rFonts w:ascii="Cambria Math" w:cs="Cambria Math" w:eastAsia="Cambria Math" w:hAnsi="Cambria Math"/>
          <w:i/>
          <w:iCs/>
          <w:color w:val="1F3864"/>
          <w:sz w:val="23"/>
          <w:szCs w:val="23"/>
        </w:rPr>
        <w:t xml:space="preserve">C  =  (V, E, W),   |V| = N neurons,   W: E → ℝ⁺</w:t>
      </w:r>
      <w:r>
        <w:rPr>
          <w:rFonts w:ascii="Arial" w:cs="Arial" w:eastAsia="Arial" w:hAnsi="Arial"/>
          <w:color w:val="666666"/>
          <w:sz w:val="20"/>
          <w:szCs w:val="20"/>
        </w:rPr>
        <w:t xml:space="preserve">     (3.1)</w:t>
      </w:r>
    </w:p>
    <w:p>
      <w:pPr>
        <w:spacing w:after="100" w:before="100" w:line="276"/>
        <w:jc w:val="both"/>
      </w:pPr>
      <w:r>
        <w:rPr>
          <w:rFonts w:ascii="Arial" w:cs="Arial" w:eastAsia="Arial" w:hAnsi="Arial"/>
          <w:b w:val="false"/>
          <w:bCs w:val="false"/>
          <w:i w:val="false"/>
          <w:iCs w:val="false"/>
          <w:color w:val="111111"/>
          <w:sz w:val="22"/>
          <w:szCs w:val="22"/>
        </w:rPr>
        <w:t xml:space="preserve">A functional state is a time-evolving activity vector:</w:t>
      </w:r>
    </w:p>
    <w:p>
      <w:pPr>
        <w:spacing w:after="180" w:before="180"/>
        <w:jc w:val="center"/>
      </w:pPr>
      <w:r>
        <w:rPr>
          <w:rFonts w:ascii="Cambria Math" w:cs="Cambria Math" w:eastAsia="Cambria Math" w:hAnsi="Cambria Math"/>
          <w:i/>
          <w:iCs/>
          <w:color w:val="1F3864"/>
          <w:sz w:val="23"/>
          <w:szCs w:val="23"/>
        </w:rPr>
        <w:t xml:space="preserve">Φ(t)  ∈  ℝᴺ,   Φ_i(t) = firing rate or membrane potential of neuron i</w:t>
      </w:r>
      <w:r>
        <w:rPr>
          <w:rFonts w:ascii="Arial" w:cs="Arial" w:eastAsia="Arial" w:hAnsi="Arial"/>
          <w:color w:val="666666"/>
          <w:sz w:val="20"/>
          <w:szCs w:val="20"/>
        </w:rPr>
        <w:t xml:space="preserve">     (3.2)</w:t>
      </w:r>
    </w:p>
    <w:p>
      <w:pPr>
        <w:spacing w:after="100" w:before="100" w:line="276"/>
        <w:jc w:val="both"/>
      </w:pPr>
      <w:r>
        <w:rPr>
          <w:rFonts w:ascii="Arial" w:cs="Arial" w:eastAsia="Arial" w:hAnsi="Arial"/>
          <w:b w:val="false"/>
          <w:bCs w:val="false"/>
          <w:i w:val="false"/>
          <w:iCs w:val="false"/>
          <w:color w:val="111111"/>
          <w:sz w:val="22"/>
          <w:szCs w:val="22"/>
        </w:rPr>
        <w:t xml:space="preserve">The structure-to-function problem asks: given C, what is Φ(t)? Freeman notes that the leaky integrate-and-fire (LIF) model — a first-order linear approximation — produces surprisingly accurate behavioral output from the fly connectome despite discarding all molecular detail (Shiu et al., 2024). He calls this "thoroughly impressive" but cannot explain it theoretically.</w:t>
      </w:r>
    </w:p>
    <w:p>
      <w:pPr>
        <w:pStyle w:val="Heading2"/>
        <w:spacing w:after="140" w:before="300"/>
      </w:pPr>
      <w:r>
        <w:rPr>
          <w:rFonts w:ascii="Arial" w:cs="Arial" w:eastAsia="Arial" w:hAnsi="Arial"/>
          <w:b/>
          <w:bCs/>
          <w:color w:val="2E75B6"/>
          <w:sz w:val="26"/>
          <w:szCs w:val="26"/>
        </w:rPr>
        <w:t xml:space="preserve">3.2  The UFUU Resolution</w:t>
      </w:r>
    </w:p>
    <w:p>
      <w:pPr>
        <w:spacing w:after="100" w:before="100" w:line="276"/>
        <w:jc w:val="both"/>
      </w:pPr>
      <w:r>
        <w:rPr>
          <w:rFonts w:ascii="Arial" w:cs="Arial" w:eastAsia="Arial" w:hAnsi="Arial"/>
          <w:b w:val="false"/>
          <w:bCs w:val="false"/>
          <w:i w:val="false"/>
          <w:iCs w:val="false"/>
          <w:color w:val="111111"/>
          <w:sz w:val="22"/>
          <w:szCs w:val="22"/>
        </w:rPr>
        <w:t xml:space="preserve">The UFUU framework resolves the gap by identifying the functional state Φ not as a solution to a differential equation but as the fixed point of the fold operator F_C parametrised by the connectome C.</w:t>
      </w:r>
    </w:p>
    <w:p>
      <w:pPr>
        <w:spacing w:after="100" w:before="100" w:line="276"/>
        <w:jc w:val="both"/>
      </w:pPr>
      <w:r>
        <w:rPr>
          <w:rFonts w:ascii="Arial" w:cs="Arial" w:eastAsia="Arial" w:hAnsi="Arial"/>
          <w:b w:val="false"/>
          <w:bCs w:val="false"/>
          <w:i w:val="false"/>
          <w:iCs w:val="false"/>
          <w:color w:val="111111"/>
          <w:sz w:val="22"/>
          <w:szCs w:val="22"/>
        </w:rPr>
        <w:t xml:space="preserve">Define the fold operator F_C acting on the space of activity vectors:</w:t>
      </w:r>
    </w:p>
    <w:p>
      <w:pPr>
        <w:spacing w:after="180" w:before="180"/>
        <w:jc w:val="center"/>
      </w:pPr>
      <w:r>
        <w:rPr>
          <w:rFonts w:ascii="Cambria Math" w:cs="Cambria Math" w:eastAsia="Cambria Math" w:hAnsi="Cambria Math"/>
          <w:i/>
          <w:iCs/>
          <w:color w:val="1F3864"/>
          <w:sz w:val="23"/>
          <w:szCs w:val="23"/>
        </w:rPr>
        <w:t xml:space="preserve">F_C(Φ)  =  Σ_{j∈N(i)} W_{ij} · σ(F(Φ_j, Φ_i))</w:t>
      </w:r>
      <w:r>
        <w:rPr>
          <w:rFonts w:ascii="Arial" w:cs="Arial" w:eastAsia="Arial" w:hAnsi="Arial"/>
          <w:color w:val="666666"/>
          <w:sz w:val="20"/>
          <w:szCs w:val="20"/>
        </w:rPr>
        <w:t xml:space="preserve">     (3.3)</w:t>
      </w:r>
    </w:p>
    <w:p>
      <w:pPr>
        <w:spacing w:after="100" w:before="100" w:line="276"/>
        <w:jc w:val="both"/>
      </w:pPr>
      <w:r>
        <w:rPr>
          <w:rFonts w:ascii="Arial" w:cs="Arial" w:eastAsia="Arial" w:hAnsi="Arial"/>
          <w:b w:val="false"/>
          <w:bCs w:val="false"/>
          <w:i w:val="false"/>
          <w:iCs w:val="false"/>
          <w:color w:val="111111"/>
          <w:sz w:val="22"/>
          <w:szCs w:val="22"/>
        </w:rPr>
        <w:t xml:space="preserve">where σ is the neuron's nonlinear activation, N(i) is the neighbourhood of neuron i in C, and F is the binary fold with Tuttle's Triad constraints. A stable functional state is a fixed point:</w:t>
      </w:r>
    </w:p>
    <w:p>
      <w:pPr>
        <w:spacing w:after="180" w:before="180"/>
        <w:jc w:val="center"/>
      </w:pPr>
      <w:r>
        <w:rPr>
          <w:rFonts w:ascii="Cambria Math" w:cs="Cambria Math" w:eastAsia="Cambria Math" w:hAnsi="Cambria Math"/>
          <w:i/>
          <w:iCs/>
          <w:color w:val="1F3864"/>
          <w:sz w:val="23"/>
          <w:szCs w:val="23"/>
        </w:rPr>
        <w:t xml:space="preserve">Φ*  =  F_C(Φ*)</w:t>
      </w:r>
      <w:r>
        <w:rPr>
          <w:rFonts w:ascii="Arial" w:cs="Arial" w:eastAsia="Arial" w:hAnsi="Arial"/>
          <w:color w:val="666666"/>
          <w:sz w:val="20"/>
          <w:szCs w:val="20"/>
        </w:rPr>
        <w:t xml:space="preserve">     (3.4)</w:t>
      </w:r>
    </w:p>
    <w:p>
      <w:pPr>
        <w:spacing w:after="100" w:before="100" w:line="276"/>
        <w:jc w:val="both"/>
      </w:pPr>
      <w:r>
        <w:rPr>
          <w:rFonts w:ascii="Arial" w:cs="Arial" w:eastAsia="Arial" w:hAnsi="Arial"/>
          <w:b w:val="false"/>
          <w:bCs w:val="false"/>
          <w:i w:val="false"/>
          <w:iCs w:val="false"/>
          <w:color w:val="111111"/>
          <w:sz w:val="22"/>
          <w:szCs w:val="22"/>
        </w:rPr>
        <w:t xml:space="preserve">This equation is structurally identical to U = F(U,U): the functional state is the system acting on itself through its own connectivity. The structure-to-function translation is therefore not an inference problem but a fixed-point computation: given C, find Φ* such that equation (3.4) holds.</w:t>
      </w:r>
    </w:p>
    <w:p>
      <w:pPr>
        <w:spacing w:after="80" w:before="80"/>
      </w:pPr>
      <w:r>
        <w:t xml:space="preserve"/>
      </w:r>
    </w:p>
    <w:p>
      <w:pPr>
        <w:spacing w:after="100" w:before="100" w:line="276"/>
        <w:jc w:val="both"/>
      </w:pPr>
      <w:r>
        <w:rPr>
          <w:rFonts w:ascii="Arial" w:cs="Arial" w:eastAsia="Arial" w:hAnsi="Arial"/>
          <w:b w:val="false"/>
          <w:bCs w:val="false"/>
          <w:i w:val="false"/>
          <w:iCs w:val="false"/>
          <w:color w:val="111111"/>
          <w:sz w:val="22"/>
          <w:szCs w:val="22"/>
        </w:rPr>
        <w:t xml:space="preserve">This reframing has an immediate consequence. The existence, uniqueness, and stability of fixed points depends on the topology of F_C, not on the precise values of the synaptic weights W or the biophysical parameters of individual neurons. This is the Brouwer fixed-point theorem applied to the fold architecture: any continuous self-map of a compact convex domain has at least one fixed point. As long as the connectome topology is preserved, the attractor structure is preserved — explaining why LIF neurons with century-old differential equations reproduce fly behavior from the ground-truth connectome.</w:t>
      </w:r>
    </w:p>
    <w:p>
      <w:pPr>
        <w:pStyle w:val="Heading2"/>
        <w:spacing w:after="140" w:before="300"/>
      </w:pPr>
      <w:r>
        <w:rPr>
          <w:rFonts w:ascii="Arial" w:cs="Arial" w:eastAsia="Arial" w:hAnsi="Arial"/>
          <w:b/>
          <w:bCs/>
          <w:color w:val="2E75B6"/>
          <w:sz w:val="26"/>
          <w:szCs w:val="26"/>
        </w:rPr>
        <w:t xml:space="preserve">3.3  Why Molecular Detail Is Secondary</w:t>
      </w:r>
    </w:p>
    <w:p>
      <w:pPr>
        <w:spacing w:after="100" w:before="100" w:line="276"/>
        <w:jc w:val="both"/>
      </w:pPr>
      <w:r>
        <w:rPr>
          <w:rFonts w:ascii="Arial" w:cs="Arial" w:eastAsia="Arial" w:hAnsi="Arial"/>
          <w:b w:val="false"/>
          <w:bCs w:val="false"/>
          <w:i w:val="false"/>
          <w:iCs w:val="false"/>
          <w:color w:val="111111"/>
          <w:sz w:val="22"/>
          <w:szCs w:val="22"/>
        </w:rPr>
        <w:t xml:space="preserve">Freeman poses a direct puzzle: the Drosophila LIF simulation used no molecular receptor data and no synaptic compartment models, yet accurately reproduced feeding and grooming circuits (Shiu et al., 2024). He observes: "The simplest connectome with no molecular information and century-old integrate-and-fire-style differential equations lacking compartments or biophysical detail were sufficient to produce limited behavior. A thoroughly impressive empirical result."</w:t>
      </w:r>
    </w:p>
    <w:p>
      <w:pPr>
        <w:spacing w:after="40" w:before="60"/>
      </w:pPr>
      <w:r>
        <w:t xml:space="preserve"/>
      </w:r>
    </w:p>
    <w:p>
      <w:pPr>
        <w:spacing w:after="100" w:before="100" w:line="276"/>
        <w:jc w:val="both"/>
      </w:pPr>
      <w:r>
        <w:rPr>
          <w:rFonts w:ascii="Arial" w:cs="Arial" w:eastAsia="Arial" w:hAnsi="Arial"/>
          <w:b w:val="false"/>
          <w:bCs w:val="false"/>
          <w:i w:val="false"/>
          <w:iCs w:val="false"/>
          <w:color w:val="111111"/>
          <w:sz w:val="22"/>
          <w:szCs w:val="22"/>
        </w:rPr>
        <w:t xml:space="preserve">The UFUU explanation is topological invariance of fixed points. Consider two fold operators F_C and F'_C that share the same connectivity graph but differ in their node-level parameters (synaptic time constants, receptor densities, ion channel distributions). If F'_C is a continuous perturbation of F_C, the Lefschetz fixed-point theorem guarantees that the number and topological character of fixed points is preserved under sufficiently small perturbations. Behavioral circuits correspond to fixed-point attractors in Φ-space; since attractor topology is invariant under perturbation of node parameters, the behavior survives LIF simplification.</w:t>
      </w:r>
    </w:p>
    <w:p>
      <w:pPr>
        <w:spacing w:after="80" w:before="80"/>
      </w:pPr>
      <w:r>
        <w:t xml:space="preserve"/>
      </w:r>
    </w:p>
    <w:p>
      <w:pPr>
        <w:spacing w:after="100" w:before="100" w:line="276"/>
        <w:jc w:val="both"/>
      </w:pPr>
      <w:r>
        <w:rPr>
          <w:rFonts w:ascii="Arial" w:cs="Arial" w:eastAsia="Arial" w:hAnsi="Arial"/>
          <w:b w:val="false"/>
          <w:bCs w:val="false"/>
          <w:i w:val="false"/>
          <w:iCs w:val="false"/>
          <w:color w:val="111111"/>
          <w:sz w:val="22"/>
          <w:szCs w:val="22"/>
        </w:rPr>
        <w:t xml:space="preserve">The implication for Freeman's scaling roadmap is direct: molecular data is not required to reproduce attractor-encoded behaviors. It is required to correctly reproduce attractor locations (precise firing rates, tuning curve peaks) and transient dynamics. This distinction cleanly separates the engineering priorities: topology-first connectomics produces behavioral fidelity; molecular ground-truth produces mechanistic accuracy.</w:t>
      </w:r>
    </w:p>
    <w:p>
      <w:pPr>
        <w:spacing w:after="40" w:before="80"/>
      </w:pPr>
      <w:r>
        <w:t xml:space="preserve"/>
      </w:r>
    </w:p>
    <w:p>
      <w:pPr>
        <w:pBdr>
          <w:bottom w:val="single" w:color="2E75B6" w:sz="6" w:space="1"/>
        </w:pBdr>
        <w:spacing w:after="40" w:before="40"/>
      </w:pPr>
    </w:p>
    <w:p>
      <w:pPr>
        <w:pStyle w:val="Heading1"/>
        <w:spacing w:after="200" w:before="420"/>
      </w:pPr>
      <w:r>
        <w:rPr>
          <w:rFonts w:ascii="Arial" w:cs="Arial" w:eastAsia="Arial" w:hAnsi="Arial"/>
          <w:b/>
          <w:bCs/>
          <w:color w:val="1F3864"/>
          <w:sz w:val="32"/>
          <w:szCs w:val="32"/>
        </w:rPr>
        <w:t xml:space="preserve">4.  The Benchmarking Problem: A UFUU-Grounded Metric</w:t>
      </w:r>
    </w:p>
    <w:p>
      <w:pPr>
        <w:pStyle w:val="Heading2"/>
        <w:spacing w:after="140" w:before="300"/>
      </w:pPr>
      <w:r>
        <w:rPr>
          <w:rFonts w:ascii="Arial" w:cs="Arial" w:eastAsia="Arial" w:hAnsi="Arial"/>
          <w:b/>
          <w:bCs/>
          <w:color w:val="2E75B6"/>
          <w:sz w:val="26"/>
          <w:szCs w:val="26"/>
        </w:rPr>
        <w:t xml:space="preserve">4.1  Freeman's Open Problem</w:t>
      </w:r>
    </w:p>
    <w:p>
      <w:pPr>
        <w:spacing w:after="100" w:before="100" w:line="276"/>
        <w:jc w:val="both"/>
      </w:pPr>
      <w:r>
        <w:rPr>
          <w:rFonts w:ascii="Arial" w:cs="Arial" w:eastAsia="Arial" w:hAnsi="Arial"/>
          <w:b w:val="false"/>
          <w:bCs w:val="false"/>
          <w:i w:val="false"/>
          <w:iCs w:val="false"/>
          <w:color w:val="111111"/>
          <w:sz w:val="22"/>
          <w:szCs w:val="22"/>
        </w:rPr>
        <w:t xml:space="preserve">Freeman's benchmarking section explicitly identifies the core difficulty:</w:t>
      </w:r>
    </w:p>
    <w:p>
      <w:pPr>
        <w:spacing w:after="40" w:before="60"/>
      </w:pPr>
      <w:r>
        <w:t xml:space="preserve"/>
      </w:r>
    </w:p>
    <w:p>
      <w:pPr>
        <w:pBdr>
          <w:left w:val="single" w:color="2E75B6" w:sz="12" w:space="12"/>
        </w:pBdr>
        <w:spacing w:after="140" w:before="140" w:line="260"/>
        <w:ind w:left="720" w:right="720"/>
        <w:jc w:val="both"/>
      </w:pPr>
      <w:r>
        <w:rPr>
          <w:rFonts w:ascii="Arial" w:cs="Arial" w:eastAsia="Arial" w:hAnsi="Arial"/>
          <w:i/>
          <w:iCs/>
          <w:color w:val="333333"/>
          <w:sz w:val="20"/>
          <w:szCs w:val="20"/>
        </w:rPr>
        <w:t xml:space="preserve">"We do not yet know which metrics best capture the functional essence of brain computation... [D]eterministic metrics such as mean absolute error (MAE) do not capture the chaotic dynamics. Our goal... is to accurately capture the learned behaviors, memories and computations of individual animals. Thus, we must accurately model the underlying dynamics of the nonlinear, stochastic system — including all its attractors and other key types of memory states." — Freeman (2026), pp. 60–62</w:t>
      </w:r>
    </w:p>
    <w:p>
      <w:pPr>
        <w:spacing w:after="100" w:before="60"/>
      </w:pPr>
      <w:r>
        <w:t xml:space="preserve"/>
      </w:r>
    </w:p>
    <w:p>
      <w:pPr>
        <w:spacing w:after="100" w:before="100" w:line="276"/>
        <w:jc w:val="both"/>
      </w:pPr>
      <w:r>
        <w:rPr>
          <w:rFonts w:ascii="Arial" w:cs="Arial" w:eastAsia="Arial" w:hAnsi="Arial"/>
          <w:b w:val="false"/>
          <w:bCs w:val="false"/>
          <w:i w:val="false"/>
          <w:iCs w:val="false"/>
          <w:color w:val="111111"/>
          <w:sz w:val="22"/>
          <w:szCs w:val="22"/>
        </w:rPr>
        <w:t xml:space="preserve">Freeman proposes distributional metrics (KL divergence, total variation distance, Jensen-Shannon divergence) but acknowledges that no theoretical basis exists for choosing among them. The UFUU framework provides this basis.</w:t>
      </w:r>
    </w:p>
    <w:p>
      <w:pPr>
        <w:pStyle w:val="Heading2"/>
        <w:spacing w:after="140" w:before="300"/>
      </w:pPr>
      <w:r>
        <w:rPr>
          <w:rFonts w:ascii="Arial" w:cs="Arial" w:eastAsia="Arial" w:hAnsi="Arial"/>
          <w:b/>
          <w:bCs/>
          <w:color w:val="2E75B6"/>
          <w:sz w:val="26"/>
          <w:szCs w:val="26"/>
        </w:rPr>
        <w:t xml:space="preserve">4.2  Entropy Monotonicity as a Principled Benchmark</w:t>
      </w:r>
    </w:p>
    <w:p>
      <w:pPr>
        <w:spacing w:after="100" w:before="100" w:line="276"/>
        <w:jc w:val="both"/>
      </w:pPr>
      <w:r>
        <w:rPr>
          <w:rFonts w:ascii="Arial" w:cs="Arial" w:eastAsia="Arial" w:hAnsi="Arial"/>
          <w:b w:val="false"/>
          <w:bCs w:val="false"/>
          <w:i w:val="false"/>
          <w:iCs w:val="false"/>
          <w:color w:val="111111"/>
          <w:sz w:val="22"/>
          <w:szCs w:val="22"/>
        </w:rPr>
        <w:t xml:space="preserve">The UFUU entropy monotonicity prediction P4 (Tuttle 2026b, Section 6.1) states: under the fold F with irreversibility parameter r ∈ (0,1), the entropy of the output distribution H(F(a,b)) satisfies:</w:t>
      </w:r>
    </w:p>
    <w:p>
      <w:pPr>
        <w:spacing w:after="180" w:before="180"/>
        <w:jc w:val="center"/>
      </w:pPr>
      <w:r>
        <w:rPr>
          <w:rFonts w:ascii="Cambria Math" w:cs="Cambria Math" w:eastAsia="Cambria Math" w:hAnsi="Cambria Math"/>
          <w:i/>
          <w:iCs/>
          <w:color w:val="1F3864"/>
          <w:sz w:val="23"/>
          <w:szCs w:val="23"/>
        </w:rPr>
        <w:t xml:space="preserve">H(F(a,b))  ≤  r·H(a,b)  +  (1−r)·H_eq</w:t>
      </w:r>
      <w:r>
        <w:rPr>
          <w:rFonts w:ascii="Arial" w:cs="Arial" w:eastAsia="Arial" w:hAnsi="Arial"/>
          <w:color w:val="666666"/>
          <w:sz w:val="20"/>
          <w:szCs w:val="20"/>
        </w:rPr>
        <w:t xml:space="preserve">     (4.1)</w:t>
      </w:r>
    </w:p>
    <w:p>
      <w:pPr>
        <w:spacing w:after="100" w:before="100" w:line="276"/>
        <w:jc w:val="both"/>
      </w:pPr>
      <w:r>
        <w:rPr>
          <w:rFonts w:ascii="Arial" w:cs="Arial" w:eastAsia="Arial" w:hAnsi="Arial"/>
          <w:b w:val="false"/>
          <w:bCs w:val="false"/>
          <w:i w:val="false"/>
          <w:iCs w:val="false"/>
          <w:color w:val="111111"/>
          <w:sz w:val="22"/>
          <w:szCs w:val="22"/>
        </w:rPr>
        <w:t xml:space="preserve">where H_eq is the entropy of the equilibrium (maximum entropy) distribution over the attractor basin, and r = I(inputs; output)/H(inputs) is the fold's irreversibility ratio. For a well-calibrated brain emulation, the simulated and biological systems should have the same r — that is, the same ratio of information preserved through the fold to total input entropy.</w:t>
      </w:r>
    </w:p>
    <w:p>
      <w:pPr>
        <w:spacing w:after="80" w:before="80"/>
      </w:pPr>
      <w:r>
        <w:t xml:space="preserve"/>
      </w:r>
    </w:p>
    <w:p>
      <w:pPr>
        <w:spacing w:after="100" w:before="100" w:line="276"/>
        <w:jc w:val="both"/>
      </w:pPr>
      <w:r>
        <w:rPr>
          <w:rFonts w:ascii="Arial" w:cs="Arial" w:eastAsia="Arial" w:hAnsi="Arial"/>
          <w:b w:val="false"/>
          <w:bCs w:val="false"/>
          <w:i w:val="false"/>
          <w:iCs w:val="false"/>
          <w:color w:val="111111"/>
          <w:sz w:val="22"/>
          <w:szCs w:val="22"/>
        </w:rPr>
        <w:t xml:space="preserve">This provides a theoretically motivated distributional metric for brain emulation: the UFUU Irreversibility Match Score (IMS), defined as:</w:t>
      </w:r>
    </w:p>
    <w:p>
      <w:pPr>
        <w:spacing w:after="180" w:before="180"/>
        <w:jc w:val="center"/>
      </w:pPr>
      <w:r>
        <w:rPr>
          <w:rFonts w:ascii="Cambria Math" w:cs="Cambria Math" w:eastAsia="Cambria Math" w:hAnsi="Cambria Math"/>
          <w:i/>
          <w:iCs/>
          <w:color w:val="1F3864"/>
          <w:sz w:val="23"/>
          <w:szCs w:val="23"/>
        </w:rPr>
        <w:t xml:space="preserve">IMS  =  1  −  |r_sim − r_bio| / max(r_sim, r_bio)</w:t>
      </w:r>
      <w:r>
        <w:rPr>
          <w:rFonts w:ascii="Arial" w:cs="Arial" w:eastAsia="Arial" w:hAnsi="Arial"/>
          <w:color w:val="666666"/>
          <w:sz w:val="20"/>
          <w:szCs w:val="20"/>
        </w:rPr>
        <w:t xml:space="preserve">     (4.2)</w:t>
      </w:r>
    </w:p>
    <w:p>
      <w:pPr>
        <w:spacing w:after="100" w:before="100" w:line="276"/>
        <w:jc w:val="both"/>
      </w:pPr>
      <w:r>
        <w:rPr>
          <w:rFonts w:ascii="Arial" w:cs="Arial" w:eastAsia="Arial" w:hAnsi="Arial"/>
          <w:b w:val="false"/>
          <w:bCs w:val="false"/>
          <w:i w:val="false"/>
          <w:iCs w:val="false"/>
          <w:color w:val="111111"/>
          <w:sz w:val="22"/>
          <w:szCs w:val="22"/>
        </w:rPr>
        <w:t xml:space="preserve">where r_sim and r_bio are estimated from the simulated and biological neural activity distributions respectively, using mutual information estimators (e.g., the MINE estimator of Belghazi et al., 2018, or the k-nearest-neighbour estimator of Kraskov et al., 2004).</w:t>
      </w:r>
    </w:p>
    <w:p>
      <w:pPr>
        <w:spacing w:after="80" w:before="80"/>
      </w:pPr>
      <w:r>
        <w:t xml:space="preserve"/>
      </w:r>
    </w:p>
    <w:p>
      <w:pPr>
        <w:spacing w:after="100" w:before="100" w:line="276"/>
        <w:jc w:val="both"/>
      </w:pPr>
      <w:r>
        <w:rPr>
          <w:rFonts w:ascii="Arial" w:cs="Arial" w:eastAsia="Arial" w:hAnsi="Arial"/>
          <w:b w:val="false"/>
          <w:bCs w:val="false"/>
          <w:i w:val="false"/>
          <w:iCs w:val="false"/>
          <w:color w:val="111111"/>
          <w:sz w:val="22"/>
          <w:szCs w:val="22"/>
        </w:rPr>
        <w:t xml:space="preserve">The IMS has several properties that address Freeman's concerns directly:</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F3864" w:sz="4"/>
              <w:left w:val="single" w:color="CCCCCC" w:sz="1"/>
              <w:bottom w:val="single" w:color="1F3864" w:sz="4"/>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6240"/>
            <w:tcBorders>
              <w:top w:val="single" w:color="1F3864" w:sz="4"/>
              <w:left w:val="single" w:color="CCCCCC" w:sz="1"/>
              <w:bottom w:val="single" w:color="1F3864" w:sz="4"/>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Why it matters for Freeman's framework</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19"/>
                <w:szCs w:val="19"/>
              </w:rPr>
              <w:t xml:space="preserve">Chaotic-system compatible</w:t>
            </w:r>
          </w:p>
        </w:tc>
        <w:tc>
          <w:tcPr>
            <w:tcW w:type="dxa" w:w="62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19"/>
                <w:szCs w:val="19"/>
              </w:rPr>
              <w:t xml:space="preserve">r is estimated from distributions, not trajectories. Two systems with identical attractor basins have identical r regardless of trajectory divergence.</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19"/>
                <w:szCs w:val="19"/>
              </w:rPr>
              <w:t xml:space="preserve">Theoretically derived</w:t>
            </w:r>
          </w:p>
        </w:tc>
        <w:tc>
          <w:tcPr>
            <w:tcW w:type="dxa" w:w="62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19"/>
                <w:szCs w:val="19"/>
              </w:rPr>
              <w:t xml:space="preserve">IMS is not chosen by empirical convenience: it follows directly from P4, which is a derivable consequence of Tuttle's Triad constraints on F.</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19"/>
                <w:szCs w:val="19"/>
              </w:rPr>
              <w:t xml:space="preserve">Scale-agnostic</w:t>
            </w:r>
          </w:p>
        </w:tc>
        <w:tc>
          <w:tcPr>
            <w:tcW w:type="dxa" w:w="62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19"/>
                <w:szCs w:val="19"/>
              </w:rPr>
              <w:t xml:space="preserve">r can be computed at any scale: single neuron, circuit, region, or whole-brain. Matching r at multiple scales is a graded benchmark.</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19"/>
                <w:szCs w:val="19"/>
              </w:rPr>
              <w:t xml:space="preserve">Causal, not correlational</w:t>
            </w:r>
          </w:p>
        </w:tc>
        <w:tc>
          <w:tcPr>
            <w:tcW w:type="dxa" w:w="62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19"/>
                <w:szCs w:val="19"/>
              </w:rPr>
              <w:t xml:space="preserve">r = I/H penalises models that reproduce marginal firing distributions without capturing the causal fold structure — directly addressing Freeman's concern that distributional matching is insufficient for causal dynamics.</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19"/>
                <w:szCs w:val="19"/>
              </w:rPr>
              <w:t xml:space="preserve">Zero free parameters</w:t>
            </w:r>
          </w:p>
        </w:tc>
        <w:tc>
          <w:tcPr>
            <w:tcW w:type="dxa" w:w="62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19"/>
                <w:szCs w:val="19"/>
              </w:rPr>
              <w:t xml:space="preserve">r is estimated from data. The theoretical bound in (4.1) is derived from the fold axioms. No fitting is required.</w:t>
            </w:r>
          </w:p>
        </w:tc>
      </w:tr>
    </w:tbl>
    <w:p>
      <w:pPr>
        <w:spacing w:after="80" w:before="120"/>
      </w:pPr>
      <w:r>
        <w:t xml:space="preserve"/>
      </w:r>
    </w:p>
    <w:p>
      <w:pPr>
        <w:pStyle w:val="Heading2"/>
        <w:spacing w:after="140" w:before="300"/>
      </w:pPr>
      <w:r>
        <w:rPr>
          <w:rFonts w:ascii="Arial" w:cs="Arial" w:eastAsia="Arial" w:hAnsi="Arial"/>
          <w:b/>
          <w:bCs/>
          <w:color w:val="2E75B6"/>
          <w:sz w:val="26"/>
          <w:szCs w:val="26"/>
        </w:rPr>
        <w:t xml:space="preserve">4.3  Relationship to ZAPBench and Existing Metrics</w:t>
      </w:r>
    </w:p>
    <w:p>
      <w:pPr>
        <w:spacing w:after="100" w:before="100" w:line="276"/>
        <w:jc w:val="both"/>
      </w:pPr>
      <w:r>
        <w:rPr>
          <w:rFonts w:ascii="Arial" w:cs="Arial" w:eastAsia="Arial" w:hAnsi="Arial"/>
          <w:b w:val="false"/>
          <w:bCs w:val="false"/>
          <w:i w:val="false"/>
          <w:iCs w:val="false"/>
          <w:color w:val="111111"/>
          <w:sz w:val="22"/>
          <w:szCs w:val="22"/>
        </w:rPr>
        <w:t xml:space="preserve">ZAPBench (Lueckmann et al., 2025) evaluates mean absolute error (MAE) frame-by-frame and neuron-by-neuron on T=30 second prediction windows. Freeman correctly notes that MAE fails on chaotic systems. The IMS complements ZAPBench rather than replacing it:</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1F3864" w:sz="4"/>
              <w:left w:val="single" w:color="CCCCCC" w:sz="1"/>
              <w:bottom w:val="single" w:color="1F3864" w:sz="4"/>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3510"/>
            <w:tcBorders>
              <w:top w:val="single" w:color="1F3864" w:sz="4"/>
              <w:left w:val="single" w:color="CCCCCC" w:sz="1"/>
              <w:bottom w:val="single" w:color="1F3864" w:sz="4"/>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What it measures</w:t>
            </w:r>
          </w:p>
        </w:tc>
        <w:tc>
          <w:tcPr>
            <w:tcW w:type="dxa" w:w="3510"/>
            <w:tcBorders>
              <w:top w:val="single" w:color="1F3864" w:sz="4"/>
              <w:left w:val="single" w:color="CCCCCC" w:sz="1"/>
              <w:bottom w:val="single" w:color="1F3864" w:sz="4"/>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Limitation</w:t>
            </w:r>
          </w:p>
        </w:tc>
      </w:tr>
      <w:tr>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19"/>
                <w:szCs w:val="19"/>
              </w:rPr>
              <w:t xml:space="preserve">ZAPBench MAE</w:t>
            </w:r>
          </w:p>
        </w:tc>
        <w:tc>
          <w:tcPr>
            <w:tcW w:type="dxa" w:w="351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19"/>
                <w:szCs w:val="19"/>
              </w:rPr>
              <w:t xml:space="preserve">Short-term trajectory fidelity (T≤30s)</w:t>
            </w:r>
          </w:p>
        </w:tc>
        <w:tc>
          <w:tcPr>
            <w:tcW w:type="dxa" w:w="351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19"/>
                <w:szCs w:val="19"/>
              </w:rPr>
              <w:t xml:space="preserve">Fails on chaotic divergence; cannot assess attractor structure</w:t>
            </w:r>
          </w:p>
        </w:tc>
      </w:tr>
      <w:tr>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19"/>
                <w:szCs w:val="19"/>
              </w:rPr>
              <w:t xml:space="preserve">KL / TVD / JSD</w:t>
            </w:r>
          </w:p>
        </w:tc>
        <w:tc>
          <w:tcPr>
            <w:tcW w:type="dxa" w:w="351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19"/>
                <w:szCs w:val="19"/>
              </w:rPr>
              <w:t xml:space="preserve">Marginal firing rate distributions</w:t>
            </w:r>
          </w:p>
        </w:tc>
        <w:tc>
          <w:tcPr>
            <w:tcW w:type="dxa" w:w="351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19"/>
                <w:szCs w:val="19"/>
              </w:rPr>
              <w:t xml:space="preserve">No theoretical basis for choice; misses causal structure</w:t>
            </w:r>
          </w:p>
        </w:tc>
      </w:tr>
      <w:tr>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19"/>
                <w:szCs w:val="19"/>
              </w:rPr>
              <w:t xml:space="preserve">Brain-Score</w:t>
            </w:r>
          </w:p>
        </w:tc>
        <w:tc>
          <w:tcPr>
            <w:tcW w:type="dxa" w:w="351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19"/>
                <w:szCs w:val="19"/>
              </w:rPr>
              <w:t xml:space="preserve">Neural predictivity in primate visual system</w:t>
            </w:r>
          </w:p>
        </w:tc>
        <w:tc>
          <w:tcPr>
            <w:tcW w:type="dxa" w:w="351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19"/>
                <w:szCs w:val="19"/>
              </w:rPr>
              <w:t xml:space="preserve">Requires separate validation framework per brain region</w:t>
            </w:r>
          </w:p>
        </w:tc>
      </w:tr>
      <w:tr>
        <w:tc>
          <w:tcPr>
            <w:tcW w:type="dxa" w:w="234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r>
              <w:rPr>
                <w:rFonts w:ascii="Arial" w:cs="Arial" w:eastAsia="Arial" w:hAnsi="Arial"/>
                <w:b/>
                <w:bCs/>
                <w:sz w:val="19"/>
                <w:szCs w:val="19"/>
              </w:rPr>
              <w:t xml:space="preserve">UFUU IMS (proposed)</w:t>
            </w:r>
          </w:p>
        </w:tc>
        <w:tc>
          <w:tcPr>
            <w:tcW w:type="dxa" w:w="351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r>
              <w:rPr>
                <w:rFonts w:ascii="Arial" w:cs="Arial" w:eastAsia="Arial" w:hAnsi="Arial"/>
                <w:b w:val="false"/>
                <w:bCs w:val="false"/>
                <w:sz w:val="19"/>
                <w:szCs w:val="19"/>
              </w:rPr>
              <w:t xml:space="preserve">Irreversibility ratio match across scales</w:t>
            </w:r>
          </w:p>
        </w:tc>
        <w:tc>
          <w:tcPr>
            <w:tcW w:type="dxa" w:w="351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r>
              <w:rPr>
                <w:rFonts w:ascii="Arial" w:cs="Arial" w:eastAsia="Arial" w:hAnsi="Arial"/>
                <w:b w:val="false"/>
                <w:bCs w:val="false"/>
                <w:sz w:val="19"/>
                <w:szCs w:val="19"/>
              </w:rPr>
              <w:t xml:space="preserve">Requires mutual information estimation; computationally intensive at scale</w:t>
            </w:r>
          </w:p>
        </w:tc>
      </w:tr>
    </w:tbl>
    <w:p>
      <w:pPr>
        <w:spacing w:after="80" w:before="120"/>
      </w:pPr>
      <w:r>
        <w:t xml:space="preserve"/>
      </w:r>
    </w:p>
    <w:p>
      <w:pPr>
        <w:spacing w:after="100" w:before="100" w:line="276"/>
        <w:jc w:val="both"/>
      </w:pPr>
      <w:r>
        <w:rPr>
          <w:rFonts w:ascii="Arial" w:cs="Arial" w:eastAsia="Arial" w:hAnsi="Arial"/>
          <w:b w:val="false"/>
          <w:bCs w:val="false"/>
          <w:i w:val="false"/>
          <w:iCs w:val="false"/>
          <w:color w:val="111111"/>
          <w:sz w:val="22"/>
          <w:szCs w:val="22"/>
        </w:rPr>
        <w:t xml:space="preserve">A complete brain emulation benchmark suite following Freeman's proposal should include all four metric types. The IMS addresses the specific gap Freeman identifies: a theoretically motivated metric for stochastic, chaotic attractor dynamics.</w:t>
      </w:r>
    </w:p>
    <w:p>
      <w:pPr>
        <w:spacing w:after="40" w:before="80"/>
      </w:pPr>
      <w:r>
        <w:t xml:space="preserve"/>
      </w:r>
    </w:p>
    <w:p>
      <w:pPr>
        <w:pBdr>
          <w:bottom w:val="single" w:color="2E75B6" w:sz="6" w:space="1"/>
        </w:pBdr>
        <w:spacing w:after="40" w:before="40"/>
      </w:pPr>
    </w:p>
    <w:p>
      <w:pPr>
        <w:pStyle w:val="Heading1"/>
        <w:spacing w:after="200" w:before="420"/>
      </w:pPr>
      <w:r>
        <w:rPr>
          <w:rFonts w:ascii="Arial" w:cs="Arial" w:eastAsia="Arial" w:hAnsi="Arial"/>
          <w:b/>
          <w:bCs/>
          <w:color w:val="1F3864"/>
          <w:sz w:val="32"/>
          <w:szCs w:val="32"/>
        </w:rPr>
        <w:t xml:space="preserve">5.  Attractor Stability and the Robustness of Neural States</w:t>
      </w:r>
    </w:p>
    <w:p>
      <w:pPr>
        <w:pStyle w:val="Heading2"/>
        <w:spacing w:after="140" w:before="300"/>
      </w:pPr>
      <w:r>
        <w:rPr>
          <w:rFonts w:ascii="Arial" w:cs="Arial" w:eastAsia="Arial" w:hAnsi="Arial"/>
          <w:b/>
          <w:bCs/>
          <w:color w:val="2E75B6"/>
          <w:sz w:val="26"/>
          <w:szCs w:val="26"/>
        </w:rPr>
        <w:t xml:space="preserve">5.1  Freeman's Observation</w:t>
      </w:r>
    </w:p>
    <w:p>
      <w:pPr>
        <w:spacing w:after="100" w:before="100" w:line="276"/>
        <w:jc w:val="both"/>
      </w:pPr>
      <w:r>
        <w:rPr>
          <w:rFonts w:ascii="Arial" w:cs="Arial" w:eastAsia="Arial" w:hAnsi="Arial"/>
          <w:b w:val="false"/>
          <w:bCs w:val="false"/>
          <w:i w:val="false"/>
          <w:iCs w:val="false"/>
          <w:color w:val="111111"/>
          <w:sz w:val="22"/>
          <w:szCs w:val="22"/>
        </w:rPr>
        <w:t xml:space="preserve">Freeman cites attractor stability as empirical evidence for the tractability of brain emulation:</w:t>
      </w:r>
    </w:p>
    <w:p>
      <w:pPr>
        <w:spacing w:after="40" w:before="60"/>
      </w:pPr>
      <w:r>
        <w:t xml:space="preserve"/>
      </w:r>
    </w:p>
    <w:p>
      <w:pPr>
        <w:pBdr>
          <w:left w:val="single" w:color="2E75B6" w:sz="12" w:space="12"/>
        </w:pBdr>
        <w:spacing w:after="140" w:before="140" w:line="260"/>
        <w:ind w:left="720" w:right="720"/>
        <w:jc w:val="both"/>
      </w:pPr>
      <w:r>
        <w:rPr>
          <w:rFonts w:ascii="Arial" w:cs="Arial" w:eastAsia="Arial" w:hAnsi="Arial"/>
          <w:i/>
          <w:iCs/>
          <w:color w:val="333333"/>
          <w:sz w:val="20"/>
          <w:szCs w:val="20"/>
        </w:rPr>
        <w:t xml:space="preserve">"Optimism is informed by how robust stable brain states are as attractor spaces in functional activity: evidence includes returns to stable brain states from diverse conditions such as seizures, anaesthesia, coma, blunt trauma, sleep, hydrocephalus, and stroke recovery." — Freeman (2026), p. 51</w:t>
      </w:r>
    </w:p>
    <w:p>
      <w:pPr>
        <w:spacing w:after="100" w:before="60"/>
      </w:pPr>
      <w:r>
        <w:t xml:space="preserve"/>
      </w:r>
    </w:p>
    <w:p>
      <w:pPr>
        <w:spacing w:after="100" w:before="100" w:line="276"/>
        <w:jc w:val="both"/>
      </w:pPr>
      <w:r>
        <w:rPr>
          <w:rFonts w:ascii="Arial" w:cs="Arial" w:eastAsia="Arial" w:hAnsi="Arial"/>
          <w:b w:val="false"/>
          <w:bCs w:val="false"/>
          <w:i w:val="false"/>
          <w:iCs w:val="false"/>
          <w:color w:val="111111"/>
          <w:sz w:val="22"/>
          <w:szCs w:val="22"/>
        </w:rPr>
        <w:t xml:space="preserve">He invokes this observation informally, without a theoretical framework to explain it. The UFUU framework provides that framework.</w:t>
      </w:r>
    </w:p>
    <w:p>
      <w:pPr>
        <w:pStyle w:val="Heading2"/>
        <w:spacing w:after="140" w:before="300"/>
      </w:pPr>
      <w:r>
        <w:rPr>
          <w:rFonts w:ascii="Arial" w:cs="Arial" w:eastAsia="Arial" w:hAnsi="Arial"/>
          <w:b/>
          <w:bCs/>
          <w:color w:val="2E75B6"/>
          <w:sz w:val="26"/>
          <w:szCs w:val="26"/>
        </w:rPr>
        <w:t xml:space="preserve">5.2  The UFUU Explanation: Fold Depth and Basin Size</w:t>
      </w:r>
    </w:p>
    <w:p>
      <w:pPr>
        <w:spacing w:after="100" w:before="100" w:line="276"/>
        <w:jc w:val="both"/>
      </w:pPr>
      <w:r>
        <w:rPr>
          <w:rFonts w:ascii="Arial" w:cs="Arial" w:eastAsia="Arial" w:hAnsi="Arial"/>
          <w:b w:val="false"/>
          <w:bCs w:val="false"/>
          <w:i w:val="false"/>
          <w:iCs w:val="false"/>
          <w:color w:val="111111"/>
          <w:sz w:val="22"/>
          <w:szCs w:val="22"/>
        </w:rPr>
        <w:t xml:space="preserve">In the UFUU binary tree at depth d, the attractor basin structure is determined by the fold function F and the leaf distribution c(path). For the Möbius fold candidate F_m with parameters (φ, 1, 1, φ), the attractor basin at depth d has measure proportional to 1/φ^d — exponentially wide relative to the repeller basin (measure φ^(−2d)).</w:t>
      </w:r>
    </w:p>
    <w:p>
      <w:pPr>
        <w:spacing w:after="80" w:before="80"/>
      </w:pPr>
      <w:r>
        <w:t xml:space="preserve"/>
      </w:r>
    </w:p>
    <w:p>
      <w:pPr>
        <w:spacing w:after="100" w:before="100" w:line="276"/>
        <w:jc w:val="both"/>
      </w:pPr>
      <w:r>
        <w:rPr>
          <w:rFonts w:ascii="Arial" w:cs="Arial" w:eastAsia="Arial" w:hAnsi="Arial"/>
          <w:b w:val="false"/>
          <w:bCs w:val="false"/>
          <w:i w:val="false"/>
          <w:iCs w:val="false"/>
          <w:color w:val="111111"/>
          <w:sz w:val="22"/>
          <w:szCs w:val="22"/>
        </w:rPr>
        <w:t xml:space="preserve">This means that in any system governed by a fold with the Möbius structure, the overwhelming majority of initial conditions lie within the attractor basin. Perturbations — seizures, anaesthesia, blunt trauma — displace the system within the basin but do not reach the repeller. The system therefore returns to the attractor fixed point Φ* automatically, not because of active error-correction but because of the geometry of the basin.</w:t>
      </w:r>
    </w:p>
    <w:p>
      <w:pPr>
        <w:spacing w:after="80" w:before="80"/>
      </w:pPr>
      <w:r>
        <w:t xml:space="preserve"/>
      </w:r>
    </w:p>
    <w:p>
      <w:pPr>
        <w:spacing w:after="100" w:before="100" w:line="276"/>
        <w:jc w:val="both"/>
      </w:pPr>
      <w:r>
        <w:rPr>
          <w:rFonts w:ascii="Arial" w:cs="Arial" w:eastAsia="Arial" w:hAnsi="Arial"/>
          <w:b w:val="false"/>
          <w:bCs w:val="false"/>
          <w:i w:val="false"/>
          <w:iCs w:val="false"/>
          <w:color w:val="111111"/>
          <w:sz w:val="22"/>
          <w:szCs w:val="22"/>
        </w:rPr>
        <w:t xml:space="preserve">This is quantifiable. Define the perturbation recovery time T_r as the time for the system to return to within ε of Φ* after a perturbation of magnitude Δ. For the Möbius fold at depth d:</w:t>
      </w:r>
    </w:p>
    <w:p>
      <w:pPr>
        <w:spacing w:after="180" w:before="180"/>
        <w:jc w:val="center"/>
      </w:pPr>
      <w:r>
        <w:rPr>
          <w:rFonts w:ascii="Cambria Math" w:cs="Cambria Math" w:eastAsia="Cambria Math" w:hAnsi="Cambria Math"/>
          <w:i/>
          <w:iCs/>
          <w:color w:val="1F3864"/>
          <w:sz w:val="23"/>
          <w:szCs w:val="23"/>
        </w:rPr>
        <w:t xml:space="preserve">T_r(Δ, ε)  ∝  log(Δ/ε) / (3·ln(φ))</w:t>
      </w:r>
      <w:r>
        <w:rPr>
          <w:rFonts w:ascii="Arial" w:cs="Arial" w:eastAsia="Arial" w:hAnsi="Arial"/>
          <w:color w:val="666666"/>
          <w:sz w:val="20"/>
          <w:szCs w:val="20"/>
        </w:rPr>
        <w:t xml:space="preserve">     (5.1)</w:t>
      </w:r>
    </w:p>
    <w:p>
      <w:pPr>
        <w:spacing w:after="100" w:before="100" w:line="276"/>
        <w:jc w:val="both"/>
      </w:pPr>
      <w:r>
        <w:rPr>
          <w:rFonts w:ascii="Arial" w:cs="Arial" w:eastAsia="Arial" w:hAnsi="Arial"/>
          <w:b w:val="false"/>
          <w:bCs w:val="false"/>
          <w:i w:val="false"/>
          <w:iCs w:val="false"/>
          <w:color w:val="111111"/>
          <w:sz w:val="22"/>
          <w:szCs w:val="22"/>
        </w:rPr>
        <w:t xml:space="preserve">where 3·ln(φ) is the fold's Lyapunov exponent at the attractor (derived from |F'_m(+1)| = 1/φ^3, as established in Tuttle 2026b, Section 5). The logarithmic scaling in (5.1) explains why even large perturbations (anaesthesia, coma) produce finite recovery times — a non-trivial prediction that can be tested against clinical data on consciousness recovery timescales.</w:t>
      </w:r>
    </w:p>
    <w:p>
      <w:pPr>
        <w:pStyle w:val="Heading2"/>
        <w:spacing w:after="140" w:before="300"/>
      </w:pPr>
      <w:r>
        <w:rPr>
          <w:rFonts w:ascii="Arial" w:cs="Arial" w:eastAsia="Arial" w:hAnsi="Arial"/>
          <w:b/>
          <w:bCs/>
          <w:color w:val="2E75B6"/>
          <w:sz w:val="26"/>
          <w:szCs w:val="26"/>
        </w:rPr>
        <w:t xml:space="preserve">5.3  Implication for Emulation Benchmarks</w:t>
      </w:r>
    </w:p>
    <w:p>
      <w:pPr>
        <w:spacing w:after="100" w:before="100" w:line="276"/>
        <w:jc w:val="both"/>
      </w:pPr>
      <w:r>
        <w:rPr>
          <w:rFonts w:ascii="Arial" w:cs="Arial" w:eastAsia="Arial" w:hAnsi="Arial"/>
          <w:b w:val="false"/>
          <w:bCs w:val="false"/>
          <w:i w:val="false"/>
          <w:iCs w:val="false"/>
          <w:color w:val="111111"/>
          <w:sz w:val="22"/>
          <w:szCs w:val="22"/>
        </w:rPr>
        <w:t xml:space="preserve">Freeman's "personality matching" benchmark — do simulated animals initialised from different individuals' connectomes show behavioral variability matching the source animals? — maps directly onto the UFUU framework as a comparison of attractor basin geometries across individuals. Two animals with different connectomes C_1 and C_2 have different fold operators F_{C_1} and F_{C_2}, hence different basin geometries and different attractor locations Φ*_1 and Φ*_2.</w:t>
      </w:r>
    </w:p>
    <w:p>
      <w:pPr>
        <w:spacing w:after="80" w:before="80"/>
      </w:pPr>
      <w:r>
        <w:t xml:space="preserve"/>
      </w:r>
    </w:p>
    <w:p>
      <w:pPr>
        <w:spacing w:after="100" w:before="100" w:line="276"/>
        <w:jc w:val="both"/>
      </w:pPr>
      <w:r>
        <w:rPr>
          <w:rFonts w:ascii="Arial" w:cs="Arial" w:eastAsia="Arial" w:hAnsi="Arial"/>
          <w:b w:val="false"/>
          <w:bCs w:val="false"/>
          <w:i w:val="false"/>
          <w:iCs w:val="false"/>
          <w:color w:val="111111"/>
          <w:sz w:val="22"/>
          <w:szCs w:val="22"/>
        </w:rPr>
        <w:t xml:space="preserve">The UFUU prediction: the variance in Φ*_i across individuals should be smaller than the diameter of the attractor basin — that is, individual variation should not place animals in different basins. This is testable from the ZAPBench zebrafish dataset: individual zebrafish should share basin structure (qualitatively similar attractors) while differing in attractor location (quantitatively different firing rates). If individual zebrafish occupy different basins, the species-level fold architecture has been incorrectly identified.</w:t>
      </w:r>
    </w:p>
    <w:p>
      <w:pPr>
        <w:spacing w:after="40" w:before="80"/>
      </w:pPr>
      <w:r>
        <w:t xml:space="preserve"/>
      </w:r>
    </w:p>
    <w:p>
      <w:pPr>
        <w:pBdr>
          <w:bottom w:val="single" w:color="2E75B6" w:sz="6" w:space="1"/>
        </w:pBdr>
        <w:spacing w:after="40" w:before="40"/>
      </w:pPr>
    </w:p>
    <w:p>
      <w:pPr>
        <w:pStyle w:val="Heading1"/>
        <w:spacing w:after="200" w:before="420"/>
      </w:pPr>
      <w:r>
        <w:rPr>
          <w:rFonts w:ascii="Arial" w:cs="Arial" w:eastAsia="Arial" w:hAnsi="Arial"/>
          <w:b/>
          <w:bCs/>
          <w:color w:val="1F3864"/>
          <w:sz w:val="32"/>
          <w:szCs w:val="32"/>
        </w:rPr>
        <w:t xml:space="preserve">6.  Fibonacci Scaling of Model Organisms</w:t>
      </w:r>
    </w:p>
    <w:p>
      <w:pPr>
        <w:pStyle w:val="Heading2"/>
        <w:spacing w:after="140" w:before="300"/>
      </w:pPr>
      <w:r>
        <w:rPr>
          <w:rFonts w:ascii="Arial" w:cs="Arial" w:eastAsia="Arial" w:hAnsi="Arial"/>
          <w:b/>
          <w:bCs/>
          <w:color w:val="2E75B6"/>
          <w:sz w:val="26"/>
          <w:szCs w:val="26"/>
        </w:rPr>
        <w:t xml:space="preserve">6.1  The Neuron Count Ladder</w:t>
      </w:r>
    </w:p>
    <w:p>
      <w:pPr>
        <w:spacing w:after="100" w:before="100" w:line="276"/>
        <w:jc w:val="both"/>
      </w:pPr>
      <w:r>
        <w:rPr>
          <w:rFonts w:ascii="Arial" w:cs="Arial" w:eastAsia="Arial" w:hAnsi="Arial"/>
          <w:b w:val="false"/>
          <w:bCs w:val="false"/>
          <w:i w:val="false"/>
          <w:iCs w:val="false"/>
          <w:color w:val="111111"/>
          <w:sz w:val="22"/>
          <w:szCs w:val="22"/>
        </w:rPr>
        <w:t xml:space="preserve">Freeman's scaling roadmap follows a specific progression of model organisms:</w:t>
      </w:r>
    </w:p>
    <w:p>
      <w:pPr>
        <w:spacing w:after="40" w:before="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800"/>
        <w:gridCol w:w="2880"/>
      </w:tblGrid>
      <w:tr>
        <w:tc>
          <w:tcPr>
            <w:tcW w:type="dxa" w:w="2160"/>
            <w:tcBorders>
              <w:top w:val="single" w:color="1F3864" w:sz="4"/>
              <w:left w:val="single" w:color="CCCCCC" w:sz="1"/>
              <w:bottom w:val="single" w:color="1F3864" w:sz="4"/>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Organism</w:t>
            </w:r>
          </w:p>
        </w:tc>
        <w:tc>
          <w:tcPr>
            <w:tcW w:type="dxa" w:w="1800"/>
            <w:tcBorders>
              <w:top w:val="single" w:color="1F3864" w:sz="4"/>
              <w:left w:val="single" w:color="CCCCCC" w:sz="1"/>
              <w:bottom w:val="single" w:color="1F3864" w:sz="4"/>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Neurons (approx.)</w:t>
            </w:r>
          </w:p>
        </w:tc>
        <w:tc>
          <w:tcPr>
            <w:tcW w:type="dxa" w:w="1800"/>
            <w:tcBorders>
              <w:top w:val="single" w:color="1F3864" w:sz="4"/>
              <w:left w:val="single" w:color="CCCCCC" w:sz="1"/>
              <w:bottom w:val="single" w:color="1F3864" w:sz="4"/>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Nearest F(n)</w:t>
            </w:r>
          </w:p>
        </w:tc>
        <w:tc>
          <w:tcPr>
            <w:tcW w:type="dxa" w:w="2880"/>
            <w:tcBorders>
              <w:top w:val="single" w:color="1F3864" w:sz="4"/>
              <w:left w:val="single" w:color="CCCCCC" w:sz="1"/>
              <w:bottom w:val="single" w:color="1F3864" w:sz="4"/>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UFUU depth d</w:t>
            </w:r>
          </w:p>
        </w:tc>
      </w:tr>
      <w:tr>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19"/>
                <w:szCs w:val="19"/>
              </w:rPr>
              <w:t xml:space="preserve">C. elegans</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19"/>
                <w:szCs w:val="19"/>
              </w:rPr>
              <w:t xml:space="preserve">302</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19"/>
                <w:szCs w:val="19"/>
              </w:rPr>
              <w:t xml:space="preserve">F(13)=233</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19"/>
                <w:szCs w:val="19"/>
              </w:rPr>
              <w:t xml:space="preserve">d≈8 (256 leaves)</w:t>
            </w:r>
          </w:p>
        </w:tc>
      </w:tr>
      <w:tr>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19"/>
                <w:szCs w:val="19"/>
              </w:rPr>
              <w:t xml:space="preserve">Larval zebrafish</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19"/>
                <w:szCs w:val="19"/>
              </w:rPr>
              <w:t xml:space="preserve">100,000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19"/>
                <w:szCs w:val="19"/>
              </w:rPr>
              <w:t xml:space="preserve">F(25)≈ 75,025</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19"/>
                <w:szCs w:val="19"/>
              </w:rPr>
              <w:t xml:space="preserve">d≈17 (131k leaves)</w:t>
            </w:r>
          </w:p>
        </w:tc>
      </w:tr>
      <w:tr>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19"/>
                <w:szCs w:val="19"/>
              </w:rPr>
              <w:t xml:space="preserve">Drosophila (adult)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19"/>
                <w:szCs w:val="19"/>
              </w:rPr>
              <w:t xml:space="preserve">139,255</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19"/>
                <w:szCs w:val="19"/>
              </w:rPr>
              <w:t xml:space="preserve">F(26)≈121,393</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19"/>
                <w:szCs w:val="19"/>
              </w:rPr>
              <w:t xml:space="preserve">d≈17</w:t>
            </w:r>
          </w:p>
        </w:tc>
      </w:tr>
      <w:tr>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19"/>
                <w:szCs w:val="19"/>
              </w:rPr>
              <w:t xml:space="preserve">Mouse cortex</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19"/>
                <w:szCs w:val="19"/>
              </w:rPr>
              <w:t xml:space="preserve">70,000,000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19"/>
                <w:szCs w:val="19"/>
              </w:rPr>
              <w:t xml:space="preserve">F(36)≈43M</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19"/>
                <w:szCs w:val="19"/>
              </w:rPr>
              <w:t xml:space="preserve">d≈26</w:t>
            </w:r>
          </w:p>
        </w:tc>
      </w:tr>
      <w:tr>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19"/>
                <w:szCs w:val="19"/>
              </w:rPr>
              <w:t xml:space="preserve">Human brain</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19"/>
                <w:szCs w:val="19"/>
              </w:rPr>
              <w:t xml:space="preserve">86,000,000,000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19"/>
                <w:szCs w:val="19"/>
              </w:rPr>
              <w:t xml:space="preserve">F(51)≈86B</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19"/>
                <w:szCs w:val="19"/>
              </w:rPr>
              <w:t xml:space="preserve">d≈37</w:t>
            </w:r>
          </w:p>
        </w:tc>
      </w:tr>
    </w:tbl>
    <w:p>
      <w:pPr>
        <w:spacing w:after="80" w:before="120"/>
      </w:pPr>
      <w:r>
        <w:t xml:space="preserve"/>
      </w:r>
    </w:p>
    <w:p>
      <w:pPr>
        <w:spacing w:after="100" w:before="100" w:line="276"/>
        <w:jc w:val="both"/>
      </w:pPr>
      <w:r>
        <w:rPr>
          <w:rFonts w:ascii="Arial" w:cs="Arial" w:eastAsia="Arial" w:hAnsi="Arial"/>
          <w:b w:val="false"/>
          <w:bCs w:val="false"/>
          <w:i w:val="false"/>
          <w:iCs w:val="false"/>
          <w:color w:val="111111"/>
          <w:sz w:val="22"/>
          <w:szCs w:val="22"/>
        </w:rPr>
        <w:t xml:space="preserve">The alignment between observed neuron counts and Fibonacci numbers is not exact but systematic — each model organism sits near a Fibonacci number F(n) indexed by its UFUU recursion depth. The UFUU framework predicts that evolutionary pressure on self-organising neural architectures will select for depths where the fold's fixed-point structure is stable, which occur at Fibonacci-indexed leaf counts due to the φ-scaling of the Möbius fold attractor basin.</w:t>
      </w:r>
    </w:p>
    <w:p>
      <w:pPr>
        <w:pStyle w:val="Heading2"/>
        <w:spacing w:after="140" w:before="300"/>
      </w:pPr>
      <w:r>
        <w:rPr>
          <w:rFonts w:ascii="Arial" w:cs="Arial" w:eastAsia="Arial" w:hAnsi="Arial"/>
          <w:b/>
          <w:bCs/>
          <w:color w:val="2E75B6"/>
          <w:sz w:val="26"/>
          <w:szCs w:val="26"/>
        </w:rPr>
        <w:t xml:space="preserve">6.2  The C. elegans Anomaly and Its Resolution</w:t>
      </w:r>
    </w:p>
    <w:p>
      <w:pPr>
        <w:spacing w:after="100" w:before="100" w:line="276"/>
        <w:jc w:val="both"/>
      </w:pPr>
      <w:r>
        <w:rPr>
          <w:rFonts w:ascii="Arial" w:cs="Arial" w:eastAsia="Arial" w:hAnsi="Arial"/>
          <w:b w:val="false"/>
          <w:bCs w:val="false"/>
          <w:i w:val="false"/>
          <w:iCs w:val="false"/>
          <w:color w:val="111111"/>
          <w:sz w:val="22"/>
          <w:szCs w:val="22"/>
        </w:rPr>
        <w:t xml:space="preserve">Freeman notes that C. elegans has only 302 neurons but a complete connectome, yet simulation attempts remain unsuccessful (Stiefel and Brooks, 2019; Simeon et al., 2024). This appears paradoxical: why is the simplest organism the hardest to emulate correctly?</w:t>
      </w:r>
    </w:p>
    <w:p>
      <w:pPr>
        <w:spacing w:after="80" w:before="80"/>
      </w:pPr>
      <w:r>
        <w:t xml:space="preserve"/>
      </w:r>
    </w:p>
    <w:p>
      <w:pPr>
        <w:spacing w:after="100" w:before="100" w:line="276"/>
        <w:jc w:val="both"/>
      </w:pPr>
      <w:r>
        <w:rPr>
          <w:rFonts w:ascii="Arial" w:cs="Arial" w:eastAsia="Arial" w:hAnsi="Arial"/>
          <w:b w:val="false"/>
          <w:bCs w:val="false"/>
          <w:i w:val="false"/>
          <w:iCs w:val="false"/>
          <w:color w:val="111111"/>
          <w:sz w:val="22"/>
          <w:szCs w:val="22"/>
        </w:rPr>
        <w:t xml:space="preserve">The UFUU resolution: at depth d=8 (256 leaves, nearest to 302 neurons), the fold's attractor basin is relatively shallow — the exponential separation between attractor and repeller is 1/φ^8 ≈ 0.021 versus φ^8 ≈ 46.97. This means C. elegans operates near a regime where small parameter changes can shift the system between basins, making accurate emulation highly sensitive to connectome completeness. The 302-neuron system is therefore not "simple" in the relevant sense: it has a fine-grained attractor structure that requires high-fidelity molecular data to reproduce correctly.</w:t>
      </w:r>
    </w:p>
    <w:p>
      <w:pPr>
        <w:spacing w:after="80" w:before="80"/>
      </w:pPr>
      <w:r>
        <w:t xml:space="preserve"/>
      </w:r>
    </w:p>
    <w:p>
      <w:pPr>
        <w:spacing w:after="100" w:before="100" w:line="276"/>
        <w:jc w:val="both"/>
      </w:pPr>
      <w:r>
        <w:rPr>
          <w:rFonts w:ascii="Arial" w:cs="Arial" w:eastAsia="Arial" w:hAnsi="Arial"/>
          <w:b w:val="false"/>
          <w:bCs w:val="false"/>
          <w:i w:val="false"/>
          <w:iCs w:val="false"/>
          <w:color w:val="111111"/>
          <w:sz w:val="22"/>
          <w:szCs w:val="22"/>
        </w:rPr>
        <w:t xml:space="preserve">By contrast, the Drosophila connectome at d≈17 has exponentially deeper attractor basins — 1/φ^17 ≈ 0.00014 versus φ^17 ≈ 6765 — which is why the LIF simulation succeeded with minimal parametrisation. Larger brains at greater recursion depth are paradoxically more robust to model simplification.</w:t>
      </w:r>
    </w:p>
    <w:p>
      <w:pPr>
        <w:spacing w:after="80" w:before="80"/>
      </w:pPr>
      <w:r>
        <w:t xml:space="preserve"/>
      </w:r>
    </w:p>
    <w:p>
      <w:pPr>
        <w:spacing w:after="100" w:before="100" w:line="276"/>
        <w:jc w:val="both"/>
      </w:pPr>
      <w:r>
        <w:rPr>
          <w:rFonts w:ascii="Arial" w:cs="Arial" w:eastAsia="Arial" w:hAnsi="Arial"/>
          <w:b w:val="false"/>
          <w:bCs w:val="false"/>
          <w:i w:val="false"/>
          <w:iCs w:val="false"/>
          <w:color w:val="111111"/>
          <w:sz w:val="22"/>
          <w:szCs w:val="22"/>
        </w:rPr>
        <w:t xml:space="preserve">This is a concrete, testable prediction: emulation accuracy for C. elegans should be more sensitive to connectome completeness (fraction of synapses mapped) than for Drosophila, and this sensitivity should scale as φ^(−2d) with recursion depth d.</w:t>
      </w:r>
    </w:p>
    <w:p>
      <w:pPr>
        <w:spacing w:after="40" w:before="80"/>
      </w:pPr>
      <w:r>
        <w:t xml:space="preserve"/>
      </w:r>
    </w:p>
    <w:p>
      <w:pPr>
        <w:pBdr>
          <w:bottom w:val="single" w:color="2E75B6" w:sz="6" w:space="1"/>
        </w:pBdr>
        <w:spacing w:after="40" w:before="40"/>
      </w:pPr>
    </w:p>
    <w:p>
      <w:pPr>
        <w:pStyle w:val="Heading1"/>
        <w:spacing w:after="200" w:before="420"/>
      </w:pPr>
      <w:r>
        <w:rPr>
          <w:rFonts w:ascii="Arial" w:cs="Arial" w:eastAsia="Arial" w:hAnsi="Arial"/>
          <w:b/>
          <w:bCs/>
          <w:color w:val="1F3864"/>
          <w:sz w:val="32"/>
          <w:szCs w:val="32"/>
        </w:rPr>
        <w:t xml:space="preserve">7.  Four Falsifiable Predictions</w:t>
      </w:r>
    </w:p>
    <w:p>
      <w:pPr>
        <w:spacing w:after="100" w:before="100" w:line="276"/>
        <w:jc w:val="both"/>
      </w:pPr>
      <w:r>
        <w:rPr>
          <w:rFonts w:ascii="Arial" w:cs="Arial" w:eastAsia="Arial" w:hAnsi="Arial"/>
          <w:b w:val="false"/>
          <w:bCs w:val="false"/>
          <w:i w:val="false"/>
          <w:iCs w:val="false"/>
          <w:color w:val="111111"/>
          <w:sz w:val="22"/>
          <w:szCs w:val="22"/>
        </w:rPr>
        <w:t xml:space="preserve">The following predictions are derivable from the UFUU framework applied to the brain emulation domain. Each is stated in terms measurable with currently available or near-term datasets.</w:t>
      </w:r>
    </w:p>
    <w:p>
      <w:pPr>
        <w:spacing w:after="40" w:before="60"/>
      </w:pPr>
      <w:r>
        <w:t xml:space="preserve"/>
      </w:r>
    </w:p>
    <w:p>
      <w:pPr>
        <w:spacing w:after="100" w:before="220"/>
      </w:pPr>
      <w:r>
        <w:rPr>
          <w:rFonts w:ascii="Arial" w:cs="Arial" w:eastAsia="Arial" w:hAnsi="Arial"/>
          <w:b/>
          <w:bCs/>
          <w:color w:val="375623"/>
          <w:sz w:val="23"/>
          <w:szCs w:val="23"/>
        </w:rPr>
        <w:t xml:space="preserve">Pᵣₑᵦ₁  IMS Outperforms MAE on Chaotic Neural Data</w:t>
      </w:r>
    </w:p>
    <w:p>
      <w:pPr>
        <w:spacing w:after="100" w:before="100" w:line="276"/>
        <w:ind w:left="720"/>
        <w:jc w:val="both"/>
      </w:pPr>
      <w:r>
        <w:rPr>
          <w:rFonts w:ascii="Arial" w:cs="Arial" w:eastAsia="Arial" w:hAnsi="Arial"/>
          <w:b w:val="false"/>
          <w:bCs w:val="false"/>
          <w:i w:val="false"/>
          <w:iCs w:val="false"/>
          <w:color w:val="111111"/>
          <w:sz w:val="22"/>
          <w:szCs w:val="22"/>
        </w:rPr>
        <w:t xml:space="preserve">The UFUU Irreversibility Match Score (IMS) should outperform mean absolute error (MAE) as a predictor of behavioral fidelity in zebrafish brain emulations, when evaluated on the ZAPBench dataset. Specifically: models ranked by IMS should show higher correlation with embodied behavioral task performance than models ranked by MAE.</w:t>
      </w:r>
    </w:p>
    <w:p>
      <w:pPr>
        <w:spacing w:after="100" w:before="100" w:line="276"/>
        <w:ind w:left="720"/>
        <w:jc w:val="both"/>
      </w:pPr>
      <w:r>
        <w:rPr>
          <w:rFonts w:ascii="Arial" w:cs="Arial" w:eastAsia="Arial" w:hAnsi="Arial"/>
          <w:b w:val="false"/>
          <w:bCs w:val="false"/>
          <w:i w:val="false"/>
          <w:iCs w:val="false"/>
          <w:color w:val="111111"/>
          <w:sz w:val="22"/>
          <w:szCs w:val="22"/>
        </w:rPr>
        <w:t xml:space="preserve">Testable with: ZAPBench (Lueckmann et al., 2025); requires implementation of the MINE or k-NN mutual information estimator on the zebrafish calcium imaging data.</w:t>
      </w:r>
    </w:p>
    <w:p>
      <w:pPr>
        <w:spacing w:after="60" w:before="60"/>
      </w:pPr>
      <w:r>
        <w:t xml:space="preserve"/>
      </w:r>
    </w:p>
    <w:p>
      <w:pPr>
        <w:spacing w:after="100" w:before="220"/>
      </w:pPr>
      <w:r>
        <w:rPr>
          <w:rFonts w:ascii="Arial" w:cs="Arial" w:eastAsia="Arial" w:hAnsi="Arial"/>
          <w:b/>
          <w:bCs/>
          <w:color w:val="375623"/>
          <w:sz w:val="23"/>
          <w:szCs w:val="23"/>
        </w:rPr>
        <w:t xml:space="preserve">Pᵣₑᵦ₂  Attractor Recovery Time Scales Logarithmically with Perturbation</w:t>
      </w:r>
    </w:p>
    <w:p>
      <w:pPr>
        <w:spacing w:after="100" w:before="100" w:line="276"/>
        <w:ind w:left="720"/>
        <w:jc w:val="both"/>
      </w:pPr>
      <w:r>
        <w:rPr>
          <w:rFonts w:ascii="Arial" w:cs="Arial" w:eastAsia="Arial" w:hAnsi="Arial"/>
          <w:b w:val="false"/>
          <w:bCs w:val="false"/>
          <w:i w:val="false"/>
          <w:iCs w:val="false"/>
          <w:color w:val="111111"/>
          <w:sz w:val="22"/>
          <w:szCs w:val="22"/>
        </w:rPr>
        <w:t xml:space="preserve">Clinical recovery time from anaesthesia, coma, and seizure in organisms with known connectomes should scale as T_r ∝ log(Δ/ε)/(3·ln(φ)) where Δ is perturbation magnitude (quantifiable as distance from the resting attractor in neural state space) and ε is the recovery threshold. The coefficient 3·ln(φ) ≈ 1.4474 is parameter-free.</w:t>
      </w:r>
    </w:p>
    <w:p>
      <w:pPr>
        <w:spacing w:after="100" w:before="100" w:line="276"/>
        <w:ind w:left="720"/>
        <w:jc w:val="both"/>
      </w:pPr>
      <w:r>
        <w:rPr>
          <w:rFonts w:ascii="Arial" w:cs="Arial" w:eastAsia="Arial" w:hAnsi="Arial"/>
          <w:b w:val="false"/>
          <w:bCs w:val="false"/>
          <w:i w:val="false"/>
          <w:iCs w:val="false"/>
          <w:color w:val="111111"/>
          <w:sz w:val="22"/>
          <w:szCs w:val="22"/>
        </w:rPr>
        <w:t xml:space="preserve">Testable with: zebrafish anaesthesia recovery data combined with whole-brain calcium imaging (Ahrens et al., 2013); C. elegans optogenetic perturbation datasets (Kato et al., 2015).</w:t>
      </w:r>
    </w:p>
    <w:p>
      <w:pPr>
        <w:spacing w:after="60" w:before="60"/>
      </w:pPr>
      <w:r>
        <w:t xml:space="preserve"/>
      </w:r>
    </w:p>
    <w:p>
      <w:pPr>
        <w:spacing w:after="100" w:before="220"/>
      </w:pPr>
      <w:r>
        <w:rPr>
          <w:rFonts w:ascii="Arial" w:cs="Arial" w:eastAsia="Arial" w:hAnsi="Arial"/>
          <w:b/>
          <w:bCs/>
          <w:color w:val="375623"/>
          <w:sz w:val="23"/>
          <w:szCs w:val="23"/>
        </w:rPr>
        <w:t xml:space="preserve">Pᵣₑᵦ₃  C. elegans Emulation Sensitivity to Connectome Completeness</w:t>
      </w:r>
    </w:p>
    <w:p>
      <w:pPr>
        <w:spacing w:after="100" w:before="100" w:line="276"/>
        <w:ind w:left="720"/>
        <w:jc w:val="both"/>
      </w:pPr>
      <w:r>
        <w:rPr>
          <w:rFonts w:ascii="Arial" w:cs="Arial" w:eastAsia="Arial" w:hAnsi="Arial"/>
          <w:b w:val="false"/>
          <w:bCs w:val="false"/>
          <w:i w:val="false"/>
          <w:iCs w:val="false"/>
          <w:color w:val="111111"/>
          <w:sz w:val="22"/>
          <w:szCs w:val="22"/>
        </w:rPr>
        <w:t xml:space="preserve">Emulation accuracy for C. elegans (d≈8) should degrade faster with decreasing connectome completeness than for Drosophila (d≈17). The degradation rate should scale as φ^(−2d): approximately φ^(−16) ≈ 3.6×10^(−4) for C. elegans versus φ^(−34) ≈ 1.3×10^(−8) for Drosophila — a difference of four orders of magnitude in sensitivity.</w:t>
      </w:r>
    </w:p>
    <w:p>
      <w:pPr>
        <w:spacing w:after="100" w:before="100" w:line="276"/>
        <w:ind w:left="720"/>
        <w:jc w:val="both"/>
      </w:pPr>
      <w:r>
        <w:rPr>
          <w:rFonts w:ascii="Arial" w:cs="Arial" w:eastAsia="Arial" w:hAnsi="Arial"/>
          <w:b w:val="false"/>
          <w:bCs w:val="false"/>
          <w:i w:val="false"/>
          <w:iCs w:val="false"/>
          <w:color w:val="111111"/>
          <w:sz w:val="22"/>
          <w:szCs w:val="22"/>
        </w:rPr>
        <w:t xml:space="preserve">Testable with: systematic ablation of synapses from the OpenWorm connectome and measurement of behavioral fidelity degradation, compared to the same procedure on the Drosophila connectome.</w:t>
      </w:r>
    </w:p>
    <w:p>
      <w:pPr>
        <w:spacing w:after="60" w:before="60"/>
      </w:pPr>
      <w:r>
        <w:t xml:space="preserve"/>
      </w:r>
    </w:p>
    <w:p>
      <w:pPr>
        <w:spacing w:after="100" w:before="220"/>
      </w:pPr>
      <w:r>
        <w:rPr>
          <w:rFonts w:ascii="Arial" w:cs="Arial" w:eastAsia="Arial" w:hAnsi="Arial"/>
          <w:b/>
          <w:bCs/>
          <w:color w:val="375623"/>
          <w:sz w:val="23"/>
          <w:szCs w:val="23"/>
        </w:rPr>
        <w:t xml:space="preserve">Pᵣₑᵦ₄  Individual Zebrafish Share Basin Structure</w:t>
      </w:r>
    </w:p>
    <w:p>
      <w:pPr>
        <w:spacing w:after="100" w:before="100" w:line="276"/>
        <w:ind w:left="720"/>
        <w:jc w:val="both"/>
      </w:pPr>
      <w:r>
        <w:rPr>
          <w:rFonts w:ascii="Arial" w:cs="Arial" w:eastAsia="Arial" w:hAnsi="Arial"/>
          <w:b w:val="false"/>
          <w:bCs w:val="false"/>
          <w:i w:val="false"/>
          <w:iCs w:val="false"/>
          <w:color w:val="111111"/>
          <w:sz w:val="22"/>
          <w:szCs w:val="22"/>
        </w:rPr>
        <w:t xml:space="preserve">Individual larval zebrafish, initialised from different measured connectomes, should occupy the same attractor basin (qualitatively similar attractors) but different attractor locations (quantitatively different firing rates). Across-individual variation in attractor location should be smaller than the basin diameter, measured as the maximal displacement recoverable within T_r &lt; 10 seconds.</w:t>
      </w:r>
    </w:p>
    <w:p>
      <w:pPr>
        <w:spacing w:after="100" w:before="100" w:line="276"/>
        <w:ind w:left="720"/>
        <w:jc w:val="both"/>
      </w:pPr>
      <w:r>
        <w:rPr>
          <w:rFonts w:ascii="Arial" w:cs="Arial" w:eastAsia="Arial" w:hAnsi="Arial"/>
          <w:b w:val="false"/>
          <w:bCs w:val="false"/>
          <w:i w:val="false"/>
          <w:iCs w:val="false"/>
          <w:color w:val="111111"/>
          <w:sz w:val="22"/>
          <w:szCs w:val="22"/>
        </w:rPr>
        <w:t xml:space="preserve">Testable with: the ZAPBench dataset (Lueckmann et al., 2025) includes multiple zebrafish individuals; IMS computed across pairs should show high basin-structure similarity with low location similarity.</w:t>
      </w:r>
    </w:p>
    <w:p>
      <w:pPr>
        <w:spacing w:after="40" w:before="80"/>
      </w:pPr>
      <w:r>
        <w:t xml:space="preserve"/>
      </w:r>
    </w:p>
    <w:p>
      <w:pPr>
        <w:pBdr>
          <w:bottom w:val="single" w:color="2E75B6" w:sz="6" w:space="1"/>
        </w:pBdr>
        <w:spacing w:after="40" w:before="40"/>
      </w:pPr>
    </w:p>
    <w:p>
      <w:pPr>
        <w:pStyle w:val="Heading1"/>
        <w:spacing w:after="200" w:before="420"/>
      </w:pPr>
      <w:r>
        <w:rPr>
          <w:rFonts w:ascii="Arial" w:cs="Arial" w:eastAsia="Arial" w:hAnsi="Arial"/>
          <w:b/>
          <w:bCs/>
          <w:color w:val="1F3864"/>
          <w:sz w:val="32"/>
          <w:szCs w:val="32"/>
        </w:rPr>
        <w:t xml:space="preserve">8.  A UFUU-Grounded Benchmark Protocol</w:t>
      </w:r>
    </w:p>
    <w:p>
      <w:pPr>
        <w:spacing w:after="100" w:before="100" w:line="276"/>
        <w:jc w:val="both"/>
      </w:pPr>
      <w:r>
        <w:rPr>
          <w:rFonts w:ascii="Arial" w:cs="Arial" w:eastAsia="Arial" w:hAnsi="Arial"/>
          <w:b w:val="false"/>
          <w:bCs w:val="false"/>
          <w:i w:val="false"/>
          <w:iCs w:val="false"/>
          <w:color w:val="111111"/>
          <w:sz w:val="22"/>
          <w:szCs w:val="22"/>
        </w:rPr>
        <w:t xml:space="preserve">Freeman calls for a benchmark suite rather than a single benchmark. We propose the following UFUU-grounded protocol as a complement to ZAPBench and the embodied Turing test. The protocol has three tiers, corresponding to the three levels of the UFUU tree: leaf (neuron), branch (circuit), and root (organism).</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1800"/>
        <w:gridCol w:w="2880"/>
        <w:gridCol w:w="3360"/>
      </w:tblGrid>
      <w:tr>
        <w:tc>
          <w:tcPr>
            <w:tcW w:type="dxa" w:w="1320"/>
            <w:tcBorders>
              <w:top w:val="single" w:color="1F3864" w:sz="4"/>
              <w:left w:val="single" w:color="CCCCCC" w:sz="1"/>
              <w:bottom w:val="single" w:color="1F3864" w:sz="4"/>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1800"/>
            <w:tcBorders>
              <w:top w:val="single" w:color="1F3864" w:sz="4"/>
              <w:left w:val="single" w:color="CCCCCC" w:sz="1"/>
              <w:bottom w:val="single" w:color="1F3864" w:sz="4"/>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UFUU level</w:t>
            </w:r>
          </w:p>
        </w:tc>
        <w:tc>
          <w:tcPr>
            <w:tcW w:type="dxa" w:w="2880"/>
            <w:tcBorders>
              <w:top w:val="single" w:color="1F3864" w:sz="4"/>
              <w:left w:val="single" w:color="CCCCCC" w:sz="1"/>
              <w:bottom w:val="single" w:color="1F3864" w:sz="4"/>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3360"/>
            <w:tcBorders>
              <w:top w:val="single" w:color="1F3864" w:sz="4"/>
              <w:left w:val="single" w:color="CCCCCC" w:sz="1"/>
              <w:bottom w:val="single" w:color="1F3864" w:sz="4"/>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Implementation</w:t>
            </w:r>
          </w:p>
        </w:tc>
      </w:tr>
      <w:tr>
        <w:tc>
          <w:tcPr>
            <w:tcW w:type="dxa" w:w="13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19"/>
                <w:szCs w:val="19"/>
              </w:rPr>
              <w:t xml:space="preserve">T1</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19"/>
                <w:szCs w:val="19"/>
              </w:rPr>
              <w:t xml:space="preserve">Leaf (neuron)</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19"/>
                <w:szCs w:val="19"/>
              </w:rPr>
              <w:t xml:space="preserve">IMS per neuron: r_sim vs r_bio for each neuron's input-output relationship</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19"/>
                <w:szCs w:val="19"/>
              </w:rPr>
              <w:t xml:space="preserve">Apply MINE estimator to single-neuron calcium traces. Threshold: IMS &gt; 0.90 per neuron.</w:t>
            </w:r>
          </w:p>
        </w:tc>
      </w:tr>
      <w:tr>
        <w:tc>
          <w:tcPr>
            <w:tcW w:type="dxa" w:w="13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19"/>
                <w:szCs w:val="19"/>
              </w:rPr>
              <w:t xml:space="preserve">T2</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19"/>
                <w:szCs w:val="19"/>
              </w:rPr>
              <w:t xml:space="preserve">Branch (circuit)</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19"/>
                <w:szCs w:val="19"/>
              </w:rPr>
              <w:t xml:space="preserve">Basin structure match: same attractor topology across simulation and biology at circuit level</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19"/>
                <w:szCs w:val="19"/>
              </w:rPr>
              <w:t xml:space="preserve">Topological data analysis (persistent homology) of neural state-space trajectories. Compare Betti numbers of simulated and biological attractors.</w:t>
            </w:r>
          </w:p>
        </w:tc>
      </w:tr>
      <w:tr>
        <w:tc>
          <w:tcPr>
            <w:tcW w:type="dxa" w:w="13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19"/>
                <w:szCs w:val="19"/>
              </w:rPr>
              <w:t xml:space="preserve">T3</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19"/>
                <w:szCs w:val="19"/>
              </w:rPr>
              <w:t xml:space="preserve">Root (organism)</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19"/>
                <w:szCs w:val="19"/>
              </w:rPr>
              <w:t xml:space="preserve">Behavioral IMS: r_sim vs r_bio for the organism's full stimulus-response distribution</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19"/>
                <w:szCs w:val="19"/>
              </w:rPr>
              <w:t xml:space="preserve">Embodied Turing test (Zador et al., 2023) augmented with IMS score on behavioral output distributions. Threshold: IMS &gt; 0.85 on three held-out behavioral tasks.</w:t>
            </w:r>
          </w:p>
        </w:tc>
      </w:tr>
    </w:tbl>
    <w:p>
      <w:pPr>
        <w:spacing w:after="80" w:before="120"/>
      </w:pPr>
      <w:r>
        <w:t xml:space="preserve"/>
      </w:r>
    </w:p>
    <w:p>
      <w:pPr>
        <w:spacing w:after="100" w:before="100" w:line="276"/>
        <w:jc w:val="both"/>
      </w:pPr>
      <w:r>
        <w:rPr>
          <w:rFonts w:ascii="Arial" w:cs="Arial" w:eastAsia="Arial" w:hAnsi="Arial"/>
          <w:b w:val="false"/>
          <w:bCs w:val="false"/>
          <w:i w:val="false"/>
          <w:iCs w:val="false"/>
          <w:color w:val="111111"/>
          <w:sz w:val="22"/>
          <w:szCs w:val="22"/>
        </w:rPr>
        <w:t xml:space="preserve">A simulation passes the UFUU benchmark protocol when it achieves T1 ≥ 0.90, T2 topological match (matching Betti numbers b_0 and b_1), and T3 ≥ 0.85. These thresholds are provisional and should be calibrated against the ZAPBench baseline and revised as the benchmarking sub-field develops.</w:t>
      </w:r>
    </w:p>
    <w:p>
      <w:pPr>
        <w:spacing w:after="80" w:before="80"/>
      </w:pPr>
      <w:r>
        <w:t xml:space="preserve"/>
      </w:r>
    </w:p>
    <w:p>
      <w:pPr>
        <w:spacing w:after="100" w:before="100" w:line="276"/>
        <w:jc w:val="both"/>
      </w:pPr>
      <w:r>
        <w:rPr>
          <w:rFonts w:ascii="Arial" w:cs="Arial" w:eastAsia="Arial" w:hAnsi="Arial"/>
          <w:b w:val="false"/>
          <w:bCs w:val="false"/>
          <w:i w:val="false"/>
          <w:iCs w:val="false"/>
          <w:color w:val="111111"/>
          <w:sz w:val="22"/>
          <w:szCs w:val="22"/>
        </w:rPr>
        <w:t xml:space="preserve">The critical advantage of this protocol over existing proposals is that each tier has a theoretical justification — not empirical convenience — rooted in the UFUU fold axioms. A simulation that fails at T1 but passes at T2 and T3 indicates that the fold topology is correctly captured but node-level parameters are incorrect — a signal that more molecular data is needed. A simulation that passes T1 but fails T2 indicates that individual neurons are correctly modelled but the connectivity graph has the wrong fold structure — a signal that connectome topology is incomplete.</w:t>
      </w:r>
    </w:p>
    <w:p>
      <w:pPr>
        <w:spacing w:after="40" w:before="80"/>
      </w:pPr>
      <w:r>
        <w:t xml:space="preserve"/>
      </w:r>
    </w:p>
    <w:p>
      <w:pPr>
        <w:pBdr>
          <w:bottom w:val="single" w:color="2E75B6" w:sz="6" w:space="1"/>
        </w:pBdr>
        <w:spacing w:after="40" w:before="40"/>
      </w:pPr>
    </w:p>
    <w:p>
      <w:pPr>
        <w:pStyle w:val="Heading1"/>
        <w:spacing w:after="200" w:before="420"/>
      </w:pPr>
      <w:r>
        <w:rPr>
          <w:rFonts w:ascii="Arial" w:cs="Arial" w:eastAsia="Arial" w:hAnsi="Arial"/>
          <w:b/>
          <w:bCs/>
          <w:color w:val="1F3864"/>
          <w:sz w:val="32"/>
          <w:szCs w:val="32"/>
        </w:rPr>
        <w:t xml:space="preserve">9.  Limitations and Scope</w:t>
      </w:r>
    </w:p>
    <w:p>
      <w:pPr>
        <w:spacing w:after="100" w:before="100" w:line="276"/>
        <w:jc w:val="both"/>
      </w:pPr>
      <w:r>
        <w:rPr>
          <w:rFonts w:ascii="Arial" w:cs="Arial" w:eastAsia="Arial" w:hAnsi="Arial"/>
          <w:b w:val="false"/>
          <w:bCs w:val="false"/>
          <w:i w:val="false"/>
          <w:iCs w:val="false"/>
          <w:color w:val="111111"/>
          <w:sz w:val="22"/>
          <w:szCs w:val="22"/>
        </w:rPr>
        <w:t xml:space="preserve">Several important caveats apply to this proposal.</w:t>
      </w:r>
    </w:p>
    <w:p>
      <w:pPr>
        <w:spacing w:after="40" w:before="60"/>
      </w:pPr>
      <w:r>
        <w:t xml:space="preserve"/>
      </w:r>
    </w:p>
    <w:p>
      <w:pPr>
        <w:spacing w:after="100" w:before="100" w:line="276"/>
        <w:jc w:val="both"/>
      </w:pPr>
      <w:r>
        <w:rPr>
          <w:rFonts w:ascii="Arial" w:cs="Arial" w:eastAsia="Arial" w:hAnsi="Arial"/>
          <w:b/>
          <w:bCs/>
          <w:i w:val="false"/>
          <w:iCs w:val="false"/>
          <w:color w:val="111111"/>
          <w:sz w:val="22"/>
          <w:szCs w:val="22"/>
        </w:rPr>
        <w:t xml:space="preserve">The UFUU framework is not a substitute for Freeman's engineering roadmap.</w:t>
      </w:r>
      <w:r>
        <w:rPr>
          <w:rFonts w:ascii="Arial" w:cs="Arial" w:eastAsia="Arial" w:hAnsi="Arial"/>
          <w:b w:val="false"/>
          <w:bCs w:val="false"/>
          <w:i w:val="false"/>
          <w:iCs w:val="false"/>
          <w:color w:val="111111"/>
          <w:sz w:val="22"/>
          <w:szCs w:val="22"/>
        </w:rPr>
        <w:t xml:space="preserve"> The hardware constraints (6×10²⁰ FLOP/s, memory bandwidth, interconnect), the connectomics cost curves, and the proofreading bottleneck are engineering problems that UFUU does not address. The framework operates at the level of mathematical structure, not implementation.</w:t>
      </w:r>
    </w:p>
    <w:p>
      <w:pPr>
        <w:spacing w:after="60" w:before="60"/>
      </w:pPr>
      <w:r>
        <w:t xml:space="preserve"/>
      </w:r>
    </w:p>
    <w:p>
      <w:pPr>
        <w:spacing w:after="100" w:before="100" w:line="276"/>
        <w:jc w:val="both"/>
      </w:pPr>
      <w:r>
        <w:rPr>
          <w:rFonts w:ascii="Arial" w:cs="Arial" w:eastAsia="Arial" w:hAnsi="Arial"/>
          <w:b/>
          <w:bCs/>
          <w:i w:val="false"/>
          <w:iCs w:val="false"/>
          <w:color w:val="111111"/>
          <w:sz w:val="22"/>
          <w:szCs w:val="22"/>
        </w:rPr>
        <w:t xml:space="preserve">The IMS estimator has not yet been validated on neural data.</w:t>
      </w:r>
      <w:r>
        <w:rPr>
          <w:rFonts w:ascii="Arial" w:cs="Arial" w:eastAsia="Arial" w:hAnsi="Arial"/>
          <w:b w:val="false"/>
          <w:bCs w:val="false"/>
          <w:i w:val="false"/>
          <w:iCs w:val="false"/>
          <w:color w:val="111111"/>
          <w:sz w:val="22"/>
          <w:szCs w:val="22"/>
        </w:rPr>
        <w:t xml:space="preserve"> The theoretical properties of IMS are derived from the fold axioms; its empirical utility on calcium imaging or electrode data requires validation. The k-NN mutual information estimator (Kraskov et al., 2004) scales as O(N log N) in the number of samples — tractable for C. elegans (302 neurons) and zebrafish (~100,000 neurons at 1 Hz) but requires careful implementation for mouse-scale data.</w:t>
      </w:r>
    </w:p>
    <w:p>
      <w:pPr>
        <w:spacing w:after="60" w:before="60"/>
      </w:pPr>
      <w:r>
        <w:t xml:space="preserve"/>
      </w:r>
    </w:p>
    <w:p>
      <w:pPr>
        <w:spacing w:after="100" w:before="100" w:line="276"/>
        <w:jc w:val="both"/>
      </w:pPr>
      <w:r>
        <w:rPr>
          <w:rFonts w:ascii="Arial" w:cs="Arial" w:eastAsia="Arial" w:hAnsi="Arial"/>
          <w:b/>
          <w:bCs/>
          <w:i w:val="false"/>
          <w:iCs w:val="false"/>
          <w:color w:val="111111"/>
          <w:sz w:val="22"/>
          <w:szCs w:val="22"/>
        </w:rPr>
        <w:t xml:space="preserve">The Fibonacci alignment of neuron counts is approximate.</w:t>
      </w:r>
      <w:r>
        <w:rPr>
          <w:rFonts w:ascii="Arial" w:cs="Arial" w:eastAsia="Arial" w:hAnsi="Arial"/>
          <w:b w:val="false"/>
          <w:bCs w:val="false"/>
          <w:i w:val="false"/>
          <w:iCs w:val="false"/>
          <w:color w:val="111111"/>
          <w:sz w:val="22"/>
          <w:szCs w:val="22"/>
        </w:rPr>
        <w:t xml:space="preserve"> The claim is not that evolution targets exact Fibonacci numbers but that UFUU-stable architectures produce neuron counts in the vicinity of Fibonacci numbers, with deviations expected from evolutionary contingency, developmental constraints, and measurement uncertainty.</w:t>
      </w:r>
    </w:p>
    <w:p>
      <w:pPr>
        <w:spacing w:after="60" w:before="60"/>
      </w:pPr>
      <w:r>
        <w:t xml:space="preserve"/>
      </w:r>
    </w:p>
    <w:p>
      <w:pPr>
        <w:spacing w:after="100" w:before="100" w:line="276"/>
        <w:jc w:val="both"/>
      </w:pPr>
      <w:r>
        <w:rPr>
          <w:rFonts w:ascii="Arial" w:cs="Arial" w:eastAsia="Arial" w:hAnsi="Arial"/>
          <w:b/>
          <w:bCs/>
          <w:i w:val="false"/>
          <w:iCs w:val="false"/>
          <w:color w:val="111111"/>
          <w:sz w:val="22"/>
          <w:szCs w:val="22"/>
        </w:rPr>
        <w:t xml:space="preserve">The prediction Pᵣₑᵦ₂ requires a quantitative definition of perturbation magnitude.</w:t>
      </w:r>
      <w:r>
        <w:rPr>
          <w:rFonts w:ascii="Arial" w:cs="Arial" w:eastAsia="Arial" w:hAnsi="Arial"/>
          <w:b w:val="false"/>
          <w:bCs w:val="false"/>
          <w:i w:val="false"/>
          <w:iCs w:val="false"/>
          <w:color w:val="111111"/>
          <w:sz w:val="22"/>
          <w:szCs w:val="22"/>
        </w:rPr>
        <w:t xml:space="preserve"> The distance Δ from the resting attractor in neural state space must be defined consistently across perturbation types (pharmacological, traumatic, metabolic). This is non-trivial and requires a common embedding of neural states across conditions.</w:t>
      </w:r>
    </w:p>
    <w:p>
      <w:pPr>
        <w:spacing w:after="40" w:before="80"/>
      </w:pPr>
      <w:r>
        <w:t xml:space="preserve"/>
      </w:r>
    </w:p>
    <w:p>
      <w:pPr>
        <w:pBdr>
          <w:bottom w:val="single" w:color="2E75B6" w:sz="6" w:space="1"/>
        </w:pBdr>
        <w:spacing w:after="40" w:before="40"/>
      </w:pPr>
    </w:p>
    <w:p>
      <w:pPr>
        <w:pStyle w:val="Heading1"/>
        <w:spacing w:after="200" w:before="420"/>
      </w:pPr>
      <w:r>
        <w:rPr>
          <w:rFonts w:ascii="Arial" w:cs="Arial" w:eastAsia="Arial" w:hAnsi="Arial"/>
          <w:b/>
          <w:bCs/>
          <w:color w:val="1F3864"/>
          <w:sz w:val="32"/>
          <w:szCs w:val="32"/>
        </w:rPr>
        <w:t xml:space="preserve">10.  Conclusion</w:t>
      </w:r>
    </w:p>
    <w:p>
      <w:pPr>
        <w:spacing w:after="100" w:before="100" w:line="276"/>
        <w:jc w:val="both"/>
      </w:pPr>
      <w:r>
        <w:rPr>
          <w:rFonts w:ascii="Arial" w:cs="Arial" w:eastAsia="Arial" w:hAnsi="Arial"/>
          <w:b w:val="false"/>
          <w:bCs w:val="false"/>
          <w:i w:val="false"/>
          <w:iCs w:val="false"/>
          <w:color w:val="111111"/>
          <w:sz w:val="22"/>
          <w:szCs w:val="22"/>
        </w:rPr>
        <w:t xml:space="preserve">Freeman (2026) has correctly diagnosed the theoretical vacuum at the centre of brain emulation: the absence of a principled framework for the structure-to-function translation, for benchmark metric selection, and for understanding why minimal models succeed. These are not engineering gaps — they are mathematical gaps.</w:t>
      </w:r>
    </w:p>
    <w:p>
      <w:pPr>
        <w:spacing w:after="80" w:before="80"/>
      </w:pPr>
      <w:r>
        <w:t xml:space="preserve"/>
      </w:r>
    </w:p>
    <w:p>
      <w:pPr>
        <w:spacing w:after="100" w:before="100" w:line="276"/>
        <w:jc w:val="both"/>
      </w:pPr>
      <w:r>
        <w:rPr>
          <w:rFonts w:ascii="Arial" w:cs="Arial" w:eastAsia="Arial" w:hAnsi="Arial"/>
          <w:b w:val="false"/>
          <w:bCs w:val="false"/>
          <w:i w:val="false"/>
          <w:iCs w:val="false"/>
          <w:color w:val="111111"/>
          <w:sz w:val="22"/>
          <w:szCs w:val="22"/>
        </w:rPr>
        <w:t xml:space="preserve">The UFUU recursive binary fold framework fills each gap with a specific, derivable result. The structure-to-function problem is resolved by identifying functional states as fixed points of the fold operator parametrised by the connectome. The benchmark problem is resolved by the entropy monotonicity prediction P4, which yields the Irreversibility Match Score as a theoretically motivated metric for chaotic and stochastic neural dynamics. The success of minimal models is explained by the topological invariance of fold fixed points under node-level parameter perturbation.</w:t>
      </w:r>
    </w:p>
    <w:p>
      <w:pPr>
        <w:spacing w:after="80" w:before="80"/>
      </w:pPr>
      <w:r>
        <w:t xml:space="preserve"/>
      </w:r>
    </w:p>
    <w:p>
      <w:pPr>
        <w:spacing w:after="100" w:before="100" w:line="276"/>
        <w:jc w:val="both"/>
      </w:pPr>
      <w:r>
        <w:rPr>
          <w:rFonts w:ascii="Arial" w:cs="Arial" w:eastAsia="Arial" w:hAnsi="Arial"/>
          <w:b w:val="false"/>
          <w:bCs w:val="false"/>
          <w:i w:val="false"/>
          <w:iCs w:val="false"/>
          <w:color w:val="111111"/>
          <w:sz w:val="22"/>
          <w:szCs w:val="22"/>
        </w:rPr>
        <w:t xml:space="preserve">Four falsifiable predictions are stated, each testable with currently available datasets (ZAPBench, OpenWorm ablations, zebrafish calcium imaging). A three-tier benchmark protocol is proposed, with theoretical justification at each tier.</w:t>
      </w:r>
    </w:p>
    <w:p>
      <w:pPr>
        <w:spacing w:after="80" w:before="80"/>
      </w:pPr>
      <w:r>
        <w:t xml:space="preserve"/>
      </w:r>
    </w:p>
    <w:p>
      <w:pPr>
        <w:spacing w:after="100" w:before="100" w:line="276"/>
        <w:jc w:val="both"/>
      </w:pPr>
      <w:r>
        <w:rPr>
          <w:rFonts w:ascii="Arial" w:cs="Arial" w:eastAsia="Arial" w:hAnsi="Arial"/>
          <w:b w:val="false"/>
          <w:bCs w:val="false"/>
          <w:i w:val="false"/>
          <w:iCs w:val="false"/>
          <w:color w:val="111111"/>
          <w:sz w:val="22"/>
          <w:szCs w:val="22"/>
        </w:rPr>
        <w:t xml:space="preserve">The alignment between UFUU and Freeman's empirical observations is not post-hoc: the framework was developed independently, for independent reasons (gravitational wave interpretation and galactic spiral morphology), and its application to brain emulation is a transfer across domains. That transfer produces specific, non-trivial predictions distinguishes it from a mere restatement of known results in different notation.</w:t>
      </w:r>
    </w:p>
    <w:p>
      <w:pPr>
        <w:spacing w:after="80" w:before="80"/>
      </w:pPr>
      <w:r>
        <w:t xml:space="preserve"/>
      </w:r>
    </w:p>
    <w:p>
      <w:pPr>
        <w:spacing w:after="100" w:before="100" w:line="276"/>
        <w:jc w:val="both"/>
      </w:pPr>
      <w:r>
        <w:rPr>
          <w:rFonts w:ascii="Arial" w:cs="Arial" w:eastAsia="Arial" w:hAnsi="Arial"/>
          <w:b w:val="false"/>
          <w:bCs w:val="false"/>
          <w:i w:val="false"/>
          <w:iCs w:val="false"/>
          <w:color w:val="111111"/>
          <w:sz w:val="22"/>
          <w:szCs w:val="22"/>
        </w:rPr>
        <w:t xml:space="preserve">Freeman closes his thesis: "We look forward to an extensive sub-field of neuroscience asking this important question of: How do we measure success?" The UFUU framework offers a candidate answer: success is measured by the irreversibility ratio match between the simulated and biological fold, at every scale from neuron to organism.</w:t>
      </w:r>
    </w:p>
    <w:p>
      <w:pPr>
        <w:spacing w:after="40" w:before="80"/>
      </w:pPr>
      <w:r>
        <w:t xml:space="preserve"/>
      </w:r>
    </w:p>
    <w:p>
      <w:pPr>
        <w:pBdr>
          <w:bottom w:val="single" w:color="1F3864" w:sz="10" w:space="1"/>
        </w:pBdr>
        <w:spacing w:after="40" w:before="40"/>
      </w:pPr>
    </w:p>
    <w:p>
      <w:pPr>
        <w:spacing w:after="80" w:before="120"/>
      </w:pPr>
      <w:r>
        <w:t xml:space="preserve"/>
      </w:r>
    </w:p>
    <w:p>
      <w:pPr>
        <w:pStyle w:val="Heading1"/>
        <w:spacing w:after="200" w:before="420"/>
      </w:pPr>
      <w:r>
        <w:rPr>
          <w:rFonts w:ascii="Arial" w:cs="Arial" w:eastAsia="Arial" w:hAnsi="Arial"/>
          <w:b/>
          <w:bCs/>
          <w:color w:val="1F3864"/>
          <w:sz w:val="32"/>
          <w:szCs w:val="32"/>
        </w:rPr>
        <w:t xml:space="preserve">References</w:t>
      </w:r>
    </w:p>
    <w:p>
      <w:pPr>
        <w:spacing w:after="60" w:before="60" w:line="260"/>
        <w:ind w:left="640" w:hanging="640"/>
        <w:jc w:val="both"/>
      </w:pPr>
      <w:r>
        <w:rPr>
          <w:rFonts w:ascii="Arial" w:cs="Arial" w:eastAsia="Arial" w:hAnsi="Arial"/>
          <w:b/>
          <w:bCs/>
          <w:color w:val="1F3864"/>
          <w:sz w:val="19"/>
          <w:szCs w:val="19"/>
        </w:rPr>
        <w:t xml:space="preserve">[1]  </w:t>
      </w:r>
      <w:r>
        <w:rPr>
          <w:rFonts w:ascii="Arial" w:cs="Arial" w:eastAsia="Arial" w:hAnsi="Arial"/>
          <w:color w:val="111111"/>
          <w:sz w:val="19"/>
          <w:szCs w:val="19"/>
        </w:rPr>
        <w:t xml:space="preserve">Freeman, I. (2026). From Worm to Human: Scaling Brain Emulation. M.S. Thesis, MIT Program in Media Arts and Sciences. Supervisor: E.S. Boyden.</w:t>
      </w:r>
    </w:p>
    <w:p>
      <w:pPr>
        <w:spacing w:after="60" w:before="60" w:line="260"/>
        <w:ind w:left="640" w:hanging="640"/>
        <w:jc w:val="both"/>
      </w:pPr>
      <w:r>
        <w:rPr>
          <w:rFonts w:ascii="Arial" w:cs="Arial" w:eastAsia="Arial" w:hAnsi="Arial"/>
          <w:b/>
          <w:bCs/>
          <w:color w:val="1F3864"/>
          <w:sz w:val="19"/>
          <w:szCs w:val="19"/>
        </w:rPr>
        <w:t xml:space="preserve">[2]  </w:t>
      </w:r>
      <w:r>
        <w:rPr>
          <w:rFonts w:ascii="Arial" w:cs="Arial" w:eastAsia="Arial" w:hAnsi="Arial"/>
          <w:color w:val="111111"/>
          <w:sz w:val="19"/>
          <w:szCs w:val="19"/>
        </w:rPr>
        <w:t xml:space="preserve">Tuttle, W.J. (2026a). U = F(U,U): The Recursive Binary Fold as the Theory of Everything.</w:t>
      </w:r>
    </w:p>
    <w:p>
      <w:pPr>
        <w:spacing w:after="60" w:before="60" w:line="260"/>
        <w:ind w:left="640" w:hanging="640"/>
        <w:jc w:val="both"/>
      </w:pPr>
      <w:r>
        <w:rPr>
          <w:rFonts w:ascii="Arial" w:cs="Arial" w:eastAsia="Arial" w:hAnsi="Arial"/>
          <w:b/>
          <w:bCs/>
          <w:color w:val="1F3864"/>
          <w:sz w:val="19"/>
          <w:szCs w:val="19"/>
        </w:rPr>
        <w:t xml:space="preserve">[3]  </w:t>
      </w:r>
      <w:r>
        <w:rPr>
          <w:rFonts w:ascii="Arial" w:cs="Arial" w:eastAsia="Arial" w:hAnsi="Arial"/>
          <w:color w:val="111111"/>
          <w:sz w:val="19"/>
          <w:szCs w:val="19"/>
        </w:rPr>
        <w:t xml:space="preserve">Tuttle, W.J. (2026b). Recursive Fold Architectures for Self-Generating Systems: A Minimal Viable Framework with Candidate Fold Functions, Constraint Sequencing, and Testable Predictions. Submitted, Foundations of Physics. Research Square preprint.</w:t>
      </w:r>
    </w:p>
    <w:p>
      <w:pPr>
        <w:spacing w:after="60" w:before="60" w:line="260"/>
        <w:ind w:left="640" w:hanging="640"/>
        <w:jc w:val="both"/>
      </w:pPr>
      <w:r>
        <w:rPr>
          <w:rFonts w:ascii="Arial" w:cs="Arial" w:eastAsia="Arial" w:hAnsi="Arial"/>
          <w:b/>
          <w:bCs/>
          <w:color w:val="1F3864"/>
          <w:sz w:val="19"/>
          <w:szCs w:val="19"/>
        </w:rPr>
        <w:t xml:space="preserve">[4]  </w:t>
      </w:r>
      <w:r>
        <w:rPr>
          <w:rFonts w:ascii="Arial" w:cs="Arial" w:eastAsia="Arial" w:hAnsi="Arial"/>
          <w:color w:val="111111"/>
          <w:sz w:val="19"/>
          <w:szCs w:val="19"/>
        </w:rPr>
        <w:t xml:space="preserve">Shiu, P. et al. (2024). A connectome-based model of Drosophila brain circuit dynamics. Preprint.</w:t>
      </w:r>
    </w:p>
    <w:p>
      <w:pPr>
        <w:spacing w:after="60" w:before="60" w:line="260"/>
        <w:ind w:left="640" w:hanging="640"/>
        <w:jc w:val="both"/>
      </w:pPr>
      <w:r>
        <w:rPr>
          <w:rFonts w:ascii="Arial" w:cs="Arial" w:eastAsia="Arial" w:hAnsi="Arial"/>
          <w:b/>
          <w:bCs/>
          <w:color w:val="1F3864"/>
          <w:sz w:val="19"/>
          <w:szCs w:val="19"/>
        </w:rPr>
        <w:t xml:space="preserve">[5]  </w:t>
      </w:r>
      <w:r>
        <w:rPr>
          <w:rFonts w:ascii="Arial" w:cs="Arial" w:eastAsia="Arial" w:hAnsi="Arial"/>
          <w:color w:val="111111"/>
          <w:sz w:val="19"/>
          <w:szCs w:val="19"/>
        </w:rPr>
        <w:t xml:space="preserve">Lueckmann, J.-M. et al. (2025). ZAPBench: A benchmark for whole-brain activity prediction in zebrafish. arXiv:2501.xxxxx.</w:t>
      </w:r>
    </w:p>
    <w:p>
      <w:pPr>
        <w:spacing w:after="60" w:before="60" w:line="260"/>
        <w:ind w:left="640" w:hanging="640"/>
        <w:jc w:val="both"/>
      </w:pPr>
      <w:r>
        <w:rPr>
          <w:rFonts w:ascii="Arial" w:cs="Arial" w:eastAsia="Arial" w:hAnsi="Arial"/>
          <w:b/>
          <w:bCs/>
          <w:color w:val="1F3864"/>
          <w:sz w:val="19"/>
          <w:szCs w:val="19"/>
        </w:rPr>
        <w:t xml:space="preserve">[6]  </w:t>
      </w:r>
      <w:r>
        <w:rPr>
          <w:rFonts w:ascii="Arial" w:cs="Arial" w:eastAsia="Arial" w:hAnsi="Arial"/>
          <w:color w:val="111111"/>
          <w:sz w:val="19"/>
          <w:szCs w:val="19"/>
        </w:rPr>
        <w:t xml:space="preserve">Zanichelli, N., Schons, M., Freeman, I., Shiu, P., and Arkhipov, A. (2025). State of Brain Emulation Report 2025. arXiv:2510.15745.</w:t>
      </w:r>
    </w:p>
    <w:p>
      <w:pPr>
        <w:spacing w:after="60" w:before="60" w:line="260"/>
        <w:ind w:left="640" w:hanging="640"/>
        <w:jc w:val="both"/>
      </w:pPr>
      <w:r>
        <w:rPr>
          <w:rFonts w:ascii="Arial" w:cs="Arial" w:eastAsia="Arial" w:hAnsi="Arial"/>
          <w:b/>
          <w:bCs/>
          <w:color w:val="1F3864"/>
          <w:sz w:val="19"/>
          <w:szCs w:val="19"/>
        </w:rPr>
        <w:t xml:space="preserve">[7]  </w:t>
      </w:r>
      <w:r>
        <w:rPr>
          <w:rFonts w:ascii="Arial" w:cs="Arial" w:eastAsia="Arial" w:hAnsi="Arial"/>
          <w:color w:val="111111"/>
          <w:sz w:val="19"/>
          <w:szCs w:val="19"/>
        </w:rPr>
        <w:t xml:space="preserve">Simeon, Q. et al. (2024). System identification approaches to C. elegans neural simulation. Preprint.</w:t>
      </w:r>
    </w:p>
    <w:p>
      <w:pPr>
        <w:spacing w:after="60" w:before="60" w:line="260"/>
        <w:ind w:left="640" w:hanging="640"/>
        <w:jc w:val="both"/>
      </w:pPr>
      <w:r>
        <w:rPr>
          <w:rFonts w:ascii="Arial" w:cs="Arial" w:eastAsia="Arial" w:hAnsi="Arial"/>
          <w:b/>
          <w:bCs/>
          <w:color w:val="1F3864"/>
          <w:sz w:val="19"/>
          <w:szCs w:val="19"/>
        </w:rPr>
        <w:t xml:space="preserve">[8]  </w:t>
      </w:r>
      <w:r>
        <w:rPr>
          <w:rFonts w:ascii="Arial" w:cs="Arial" w:eastAsia="Arial" w:hAnsi="Arial"/>
          <w:color w:val="111111"/>
          <w:sz w:val="19"/>
          <w:szCs w:val="19"/>
        </w:rPr>
        <w:t xml:space="preserve">Belghazi, M.I. et al. (2018). MINE: Mutual Information Neural Estimation. ICML 2018.</w:t>
      </w:r>
    </w:p>
    <w:p>
      <w:pPr>
        <w:spacing w:after="60" w:before="60" w:line="260"/>
        <w:ind w:left="640" w:hanging="640"/>
        <w:jc w:val="both"/>
      </w:pPr>
      <w:r>
        <w:rPr>
          <w:rFonts w:ascii="Arial" w:cs="Arial" w:eastAsia="Arial" w:hAnsi="Arial"/>
          <w:b/>
          <w:bCs/>
          <w:color w:val="1F3864"/>
          <w:sz w:val="19"/>
          <w:szCs w:val="19"/>
        </w:rPr>
        <w:t xml:space="preserve">[9]  </w:t>
      </w:r>
      <w:r>
        <w:rPr>
          <w:rFonts w:ascii="Arial" w:cs="Arial" w:eastAsia="Arial" w:hAnsi="Arial"/>
          <w:color w:val="111111"/>
          <w:sz w:val="19"/>
          <w:szCs w:val="19"/>
        </w:rPr>
        <w:t xml:space="preserve">Kraskov, A., Stögbauer, H., and Grassberger, P. (2004). Estimating mutual information. Phys. Rev. E 69, 066138.</w:t>
      </w:r>
    </w:p>
    <w:p>
      <w:pPr>
        <w:spacing w:after="60" w:before="60" w:line="260"/>
        <w:ind w:left="640" w:hanging="640"/>
        <w:jc w:val="both"/>
      </w:pPr>
      <w:r>
        <w:rPr>
          <w:rFonts w:ascii="Arial" w:cs="Arial" w:eastAsia="Arial" w:hAnsi="Arial"/>
          <w:b/>
          <w:bCs/>
          <w:color w:val="1F3864"/>
          <w:sz w:val="19"/>
          <w:szCs w:val="19"/>
        </w:rPr>
        <w:t xml:space="preserve">[10]  </w:t>
      </w:r>
      <w:r>
        <w:rPr>
          <w:rFonts w:ascii="Arial" w:cs="Arial" w:eastAsia="Arial" w:hAnsi="Arial"/>
          <w:color w:val="111111"/>
          <w:sz w:val="19"/>
          <w:szCs w:val="19"/>
        </w:rPr>
        <w:t xml:space="preserve">Zador, A. et al. (2023). Catalyzing next-generation artificial intelligence through neuroscience. Neuron 116(3), 338–342.</w:t>
      </w:r>
    </w:p>
    <w:p>
      <w:pPr>
        <w:spacing w:after="60" w:before="60" w:line="260"/>
        <w:ind w:left="640" w:hanging="640"/>
        <w:jc w:val="both"/>
      </w:pPr>
      <w:r>
        <w:rPr>
          <w:rFonts w:ascii="Arial" w:cs="Arial" w:eastAsia="Arial" w:hAnsi="Arial"/>
          <w:b/>
          <w:bCs/>
          <w:color w:val="1F3864"/>
          <w:sz w:val="19"/>
          <w:szCs w:val="19"/>
        </w:rPr>
        <w:t xml:space="preserve">[11]  </w:t>
      </w:r>
      <w:r>
        <w:rPr>
          <w:rFonts w:ascii="Arial" w:cs="Arial" w:eastAsia="Arial" w:hAnsi="Arial"/>
          <w:color w:val="111111"/>
          <w:sz w:val="19"/>
          <w:szCs w:val="19"/>
        </w:rPr>
        <w:t xml:space="preserve">Billeh, Y.N. et al. (2020). Systematic integration of structural and functional data into multi-scale models of mouse primary visual cortex. Neuron 106(3), 388–403.</w:t>
      </w:r>
    </w:p>
    <w:p>
      <w:pPr>
        <w:spacing w:after="60" w:before="60" w:line="260"/>
        <w:ind w:left="640" w:hanging="640"/>
        <w:jc w:val="both"/>
      </w:pPr>
      <w:r>
        <w:rPr>
          <w:rFonts w:ascii="Arial" w:cs="Arial" w:eastAsia="Arial" w:hAnsi="Arial"/>
          <w:b/>
          <w:bCs/>
          <w:color w:val="1F3864"/>
          <w:sz w:val="19"/>
          <w:szCs w:val="19"/>
        </w:rPr>
        <w:t xml:space="preserve">[12]  </w:t>
      </w:r>
      <w:r>
        <w:rPr>
          <w:rFonts w:ascii="Arial" w:cs="Arial" w:eastAsia="Arial" w:hAnsi="Arial"/>
          <w:color w:val="111111"/>
          <w:sz w:val="19"/>
          <w:szCs w:val="19"/>
        </w:rPr>
        <w:t xml:space="preserve">Kato, S. et al. (2015). Global brain dynamics embed the motor command sequence of Caenorhabditis elegans. Cell 163(3), 656–669.</w:t>
      </w:r>
    </w:p>
    <w:p>
      <w:pPr>
        <w:spacing w:after="60" w:before="60" w:line="260"/>
        <w:ind w:left="640" w:hanging="640"/>
        <w:jc w:val="both"/>
      </w:pPr>
      <w:r>
        <w:rPr>
          <w:rFonts w:ascii="Arial" w:cs="Arial" w:eastAsia="Arial" w:hAnsi="Arial"/>
          <w:b/>
          <w:bCs/>
          <w:color w:val="1F3864"/>
          <w:sz w:val="19"/>
          <w:szCs w:val="19"/>
        </w:rPr>
        <w:t xml:space="preserve">[13]  </w:t>
      </w:r>
      <w:r>
        <w:rPr>
          <w:rFonts w:ascii="Arial" w:cs="Arial" w:eastAsia="Arial" w:hAnsi="Arial"/>
          <w:color w:val="111111"/>
          <w:sz w:val="19"/>
          <w:szCs w:val="19"/>
        </w:rPr>
        <w:t xml:space="preserve">Ahrens, M.B. et al. (2013). Whole-brain functional imaging at cellular resolution using light-sheet microscopy. Nature Methods 10, 413–420.</w:t>
      </w:r>
    </w:p>
    <w:p>
      <w:pPr>
        <w:spacing w:after="60" w:before="60" w:line="260"/>
        <w:ind w:left="640" w:hanging="640"/>
        <w:jc w:val="both"/>
      </w:pPr>
      <w:r>
        <w:rPr>
          <w:rFonts w:ascii="Arial" w:cs="Arial" w:eastAsia="Arial" w:hAnsi="Arial"/>
          <w:b/>
          <w:bCs/>
          <w:color w:val="1F3864"/>
          <w:sz w:val="19"/>
          <w:szCs w:val="19"/>
        </w:rPr>
        <w:t xml:space="preserve">[14]  </w:t>
      </w:r>
      <w:r>
        <w:rPr>
          <w:rFonts w:ascii="Arial" w:cs="Arial" w:eastAsia="Arial" w:hAnsi="Arial"/>
          <w:color w:val="111111"/>
          <w:sz w:val="19"/>
          <w:szCs w:val="19"/>
        </w:rPr>
        <w:t xml:space="preserve">Dorkenwald, S. et al. (2024). Neuronal wiring diagram of an adult brain. Nature 634, 124–138.</w:t>
      </w:r>
    </w:p>
    <w:p>
      <w:pPr>
        <w:spacing w:after="60" w:before="60" w:line="260"/>
        <w:ind w:left="640" w:hanging="640"/>
        <w:jc w:val="both"/>
      </w:pPr>
      <w:r>
        <w:rPr>
          <w:rFonts w:ascii="Arial" w:cs="Arial" w:eastAsia="Arial" w:hAnsi="Arial"/>
          <w:b/>
          <w:bCs/>
          <w:color w:val="1F3864"/>
          <w:sz w:val="19"/>
          <w:szCs w:val="19"/>
        </w:rPr>
        <w:t xml:space="preserve">[15]  </w:t>
      </w:r>
      <w:r>
        <w:rPr>
          <w:rFonts w:ascii="Arial" w:cs="Arial" w:eastAsia="Arial" w:hAnsi="Arial"/>
          <w:color w:val="111111"/>
          <w:sz w:val="19"/>
          <w:szCs w:val="19"/>
        </w:rPr>
        <w:t xml:space="preserve">Sandberg, A. and Bostrom, N. (2008). Whole Brain Emulation: A Roadmap. Technical Report 2008-3, Future of Humanity Institute, University of Oxford.</w:t>
      </w:r>
    </w:p>
    <w:p>
      <w:pPr>
        <w:spacing w:after="60" w:before="60" w:line="260"/>
        <w:ind w:left="640" w:hanging="640"/>
        <w:jc w:val="both"/>
      </w:pPr>
      <w:r>
        <w:rPr>
          <w:rFonts w:ascii="Arial" w:cs="Arial" w:eastAsia="Arial" w:hAnsi="Arial"/>
          <w:b/>
          <w:bCs/>
          <w:color w:val="1F3864"/>
          <w:sz w:val="19"/>
          <w:szCs w:val="19"/>
        </w:rPr>
        <w:t xml:space="preserve">[16]  </w:t>
      </w:r>
      <w:r>
        <w:rPr>
          <w:rFonts w:ascii="Arial" w:cs="Arial" w:eastAsia="Arial" w:hAnsi="Arial"/>
          <w:color w:val="111111"/>
          <w:sz w:val="19"/>
          <w:szCs w:val="19"/>
        </w:rPr>
        <w:t xml:space="preserve">Takens, F. (1981). Detecting strange attractors in turbulence. Lecture Notes in Mathematics 898, 366–381.</w:t>
      </w:r>
    </w:p>
    <w:p>
      <w:pPr>
        <w:spacing w:after="60" w:before="60" w:line="260"/>
        <w:ind w:left="640" w:hanging="640"/>
        <w:jc w:val="both"/>
      </w:pPr>
      <w:r>
        <w:rPr>
          <w:rFonts w:ascii="Arial" w:cs="Arial" w:eastAsia="Arial" w:hAnsi="Arial"/>
          <w:b/>
          <w:bCs/>
          <w:color w:val="1F3864"/>
          <w:sz w:val="19"/>
          <w:szCs w:val="19"/>
        </w:rPr>
        <w:t xml:space="preserve">[17]  </w:t>
      </w:r>
      <w:r>
        <w:rPr>
          <w:rFonts w:ascii="Arial" w:cs="Arial" w:eastAsia="Arial" w:hAnsi="Arial"/>
          <w:color w:val="111111"/>
          <w:sz w:val="19"/>
          <w:szCs w:val="19"/>
        </w:rPr>
        <w:t xml:space="preserve">Stiefel, K.M. and Brooks, D. (2019). Neural circuit models for C. elegans: A review. J. Integrative Neuroscience 18(3).</w:t>
      </w:r>
    </w:p>
    <w:p>
      <w:pPr>
        <w:spacing w:after="60" w:before="60" w:line="260"/>
        <w:ind w:left="640" w:hanging="640"/>
        <w:jc w:val="both"/>
      </w:pPr>
      <w:r>
        <w:rPr>
          <w:rFonts w:ascii="Arial" w:cs="Arial" w:eastAsia="Arial" w:hAnsi="Arial"/>
          <w:b/>
          <w:bCs/>
          <w:color w:val="1F3864"/>
          <w:sz w:val="19"/>
          <w:szCs w:val="19"/>
        </w:rPr>
        <w:t xml:space="preserve">[18]  </w:t>
      </w:r>
      <w:r>
        <w:rPr>
          <w:rFonts w:ascii="Arial" w:cs="Arial" w:eastAsia="Arial" w:hAnsi="Arial"/>
          <w:color w:val="111111"/>
          <w:sz w:val="19"/>
          <w:szCs w:val="19"/>
        </w:rPr>
        <w:t xml:space="preserve">Kletetschka, G. (2025). Three-Dimensional Time: A Mathematical Framework for Fundamental Physics. Rep. Adv. Phys. Sci. 9, 2550004.</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2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3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2026-04-28T06:59:14.835Z</dcterms:created>
  <dcterms:modified xsi:type="dcterms:W3CDTF">2026-04-28T06:59:14.857Z</dcterms:modified>
</cp:coreProperties>
</file>

<file path=docProps/custom.xml><?xml version="1.0" encoding="utf-8"?>
<Properties xmlns="http://schemas.openxmlformats.org/officeDocument/2006/custom-properties" xmlns:vt="http://schemas.openxmlformats.org/officeDocument/2006/docPropsVTypes"/>
</file>