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sz w:val="28"/>
          <w:szCs w:val="28"/>
        </w:rPr>
        <w:t xml:space="preserve">Numerical Realization of a Recursive Fold Cosmology:</w:t>
      </w:r>
    </w:p>
    <w:p>
      <w:pPr>
        <w:spacing w:after="80"/>
        <w:jc w:val="center"/>
      </w:pPr>
      <w:r>
        <w:rPr>
          <w:rFonts w:ascii="Times New Roman" w:cs="Times New Roman" w:eastAsia="Times New Roman" w:hAnsi="Times New Roman"/>
          <w:b/>
          <w:bCs/>
          <w:sz w:val="28"/>
          <w:szCs w:val="28"/>
        </w:rPr>
        <w:t xml:space="preserve">Fixed-Point Convergence, Gauge-Attractor Selection,</w:t>
      </w:r>
    </w:p>
    <w:p>
      <w:pPr>
        <w:spacing w:after="360"/>
        <w:jc w:val="center"/>
      </w:pPr>
      <w:r>
        <w:rPr>
          <w:rFonts w:ascii="Times New Roman" w:cs="Times New Roman" w:eastAsia="Times New Roman" w:hAnsi="Times New Roman"/>
          <w:b/>
          <w:bCs/>
          <w:sz w:val="28"/>
          <w:szCs w:val="28"/>
        </w:rPr>
        <w:t xml:space="preserve">and an Emergent Curvature Scale in the Möbius–Modular Ansatz</w:t>
      </w:r>
    </w:p>
    <w:p>
      <w:pPr>
        <w:spacing w:after="60"/>
        <w:jc w:val="center"/>
      </w:pPr>
      <w:r>
        <w:rPr>
          <w:rFonts w:ascii="Times New Roman" w:cs="Times New Roman" w:eastAsia="Times New Roman" w:hAnsi="Times New Roman"/>
          <w:b/>
          <w:bCs/>
          <w:sz w:val="24"/>
          <w:szCs w:val="24"/>
        </w:rPr>
        <w:t xml:space="preserve">W. Jason Tuttle</w:t>
      </w:r>
    </w:p>
    <w:p>
      <w:pPr>
        <w:spacing w:after="60"/>
        <w:jc w:val="center"/>
      </w:pPr>
      <w:r>
        <w:rPr>
          <w:rFonts w:ascii="Times New Roman" w:cs="Times New Roman" w:eastAsia="Times New Roman" w:hAnsi="Times New Roman"/>
          <w:sz w:val="22"/>
          <w:szCs w:val="22"/>
        </w:rPr>
        <w:t xml:space="preserve">Independent Researcher, Lenoir City, Tennessee, United States</w:t>
      </w:r>
    </w:p>
    <w:p>
      <w:pPr>
        <w:spacing w:after="60"/>
        <w:jc w:val="center"/>
      </w:pPr>
      <w:r>
        <w:rPr>
          <w:rFonts w:ascii="Times New Roman" w:cs="Times New Roman" w:eastAsia="Times New Roman" w:hAnsi="Times New Roman"/>
          <w:sz w:val="22"/>
          <w:szCs w:val="22"/>
        </w:rPr>
        <w:t xml:space="preserve">Corresponding author: mail@jasontuttle.com</w:t>
      </w:r>
    </w:p>
    <w:p>
      <w:pPr>
        <w:spacing w:after="480"/>
        <w:jc w:val="center"/>
      </w:pPr>
      <w:r>
        <w:rPr>
          <w:rFonts w:ascii="Times New Roman" w:cs="Times New Roman" w:eastAsia="Times New Roman" w:hAnsi="Times New Roman"/>
          <w:sz w:val="22"/>
          <w:szCs w:val="22"/>
        </w:rPr>
        <w:t xml:space="preserve">ORCID: [to be added prior to submission]</w:t>
      </w:r>
    </w:p>
    <w:p>
      <w:pPr>
        <w:pStyle w:val="Heading1"/>
        <w:spacing w:after="200" w:before="360"/>
      </w:pPr>
      <w:r>
        <w:rPr>
          <w:rFonts w:ascii="Times New Roman" w:cs="Times New Roman" w:eastAsia="Times New Roman" w:hAnsi="Times New Roman"/>
          <w:b/>
          <w:bCs/>
          <w:sz w:val="26"/>
          <w:szCs w:val="26"/>
        </w:rPr>
        <w:t xml:space="preserve">Abstract</w:t>
      </w:r>
    </w:p>
    <w:p>
      <w:pPr>
        <w:spacing w:after="200" w:line="360"/>
        <w:jc w:val="both"/>
      </w:pPr>
      <w:r>
        <w:rPr>
          <w:rFonts w:ascii="Times New Roman" w:cs="Times New Roman" w:eastAsia="Times New Roman" w:hAnsi="Times New Roman"/>
          <w:sz w:val="24"/>
          <w:szCs w:val="24"/>
        </w:rPr>
        <w:t xml:space="preserve">A companion paper (Tuttle 2026) introduced a minimal recursive architecture for self-generating systems governed by the generative relation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whose infinite-depth limit is the fixed-point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The present work reports the first systematic numerical realization of that architecture. Adopting a hybrid fold—the Möbius conformal transformation with golden-ratio parameters (φ, 1, 1, φ) as the geometric channel and modular arithmetic over the finite field ℤ</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as the gauge channel—we compute the recursive tree at depths up to 18 across eleven distinct leaf initializations. The geometric channel converges universally to a stable vacuum value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1.13466285, invariant under all tested boundary conditions. The gauge channel selects from exactly three attractors—two nontrivial fixed points (4 and 13 in ℤ</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and a period-2 cycle—with the leaf initialization acting as a vacuum selector. A level-2 curvature proxy Δ</w:t>
      </w:r>
      <w:r>
        <w:rPr>
          <w:rFonts w:ascii="Times New Roman" w:cs="Times New Roman" w:eastAsia="Times New Roman" w:hAnsi="Times New Roman"/>
          <w:sz w:val="24"/>
          <w:szCs w:val="24"/>
        </w:rPr>
        <w:t xml:space="preserve">₂</w:t>
      </w:r>
      <w:r>
        <w:rPr>
          <w:rFonts w:ascii="Times New Roman" w:cs="Times New Roman" w:eastAsia="Times New Roman" w:hAnsi="Times New Roman"/>
          <w:sz w:val="24"/>
          <w:szCs w:val="24"/>
        </w:rPr>
        <w:t xml:space="preserve"> ≈ 1/(2π) emerges reproducibly across ten of eleven variants. The Shannon entropy of the geometric channel decreases monotonically from leaves to root, correcting the original prediction of monotonic increase and confirming partial irreversibility in the coarse-graining direction. These results establish that the fixed-point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is not merely a formal relation but a numerically realized, computationally stable attractor of the recursive fold architecture. Five falsifiable predictions from the original framework are re-examined under the self-consistency condition, with two (P4 and P5) receiving direct numerical confirmation.</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recursive computation; fixed-point cosmology; Möbius fold; ultrametric geometry; self-consistency condition; gauge-attractor selection</w:t>
      </w:r>
    </w:p>
    <w:p>
      <w:pPr>
        <w:pStyle w:val="Heading1"/>
        <w:spacing w:after="200" w:before="360"/>
      </w:pPr>
      <w:r>
        <w:rPr>
          <w:rFonts w:ascii="Times New Roman" w:cs="Times New Roman" w:eastAsia="Times New Roman" w:hAnsi="Times New Roman"/>
          <w:b/>
          <w:bCs/>
          <w:sz w:val="26"/>
          <w:szCs w:val="26"/>
        </w:rPr>
        <w:t xml:space="preserve">1  Introduction</w:t>
      </w:r>
    </w:p>
    <w:p>
      <w:pPr>
        <w:spacing w:after="200" w:line="360"/>
        <w:jc w:val="both"/>
      </w:pPr>
      <w:r>
        <w:rPr>
          <w:rFonts w:ascii="Times New Roman" w:cs="Times New Roman" w:eastAsia="Times New Roman" w:hAnsi="Times New Roman"/>
          <w:sz w:val="24"/>
          <w:szCs w:val="24"/>
        </w:rPr>
        <w:t xml:space="preserve">Tuttle (2026) proposed that a triad of irreducible components—self-referencing binary recursion, a depth-bounded termination boundary, and an asymmetric fold operation—constitutes the minimal architecture from which hierarchical complexity, spontaneous differentiation, and stable structures can emerge. That paper identified four candidate fold functions, developed a three-stage constraint sequence, and enumerated five falsifiable predictions. The architecture admits the compact generative form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(0) = 1,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which at fixed point yields the governing relation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The present paper reports the first systematic numerical test of that framework. We adopt a specific fold ansatz—combining the Möbius conformal transformation (Section 4.4 of the original) with the modular arithmetic operation (Section 4.2)—and evaluate it at tree depths up to 18 across eleven distinct leaf initializations. The goals are threefold: (i) to determine whether the geometric channel converges to a universal fixed point consistent with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(ii) to characterize the gauge channel’s attractor structure as a concrete realization of prediction P5; and (iii) to test the robustness of emergent features under variation of the leaf function (measurement M6).</w:t>
      </w:r>
    </w:p>
    <w:p>
      <w:pPr>
        <w:spacing w:after="200" w:line="360"/>
        <w:jc w:val="both"/>
      </w:pPr>
      <w:r>
        <w:rPr>
          <w:rFonts w:ascii="Times New Roman" w:cs="Times New Roman" w:eastAsia="Times New Roman" w:hAnsi="Times New Roman"/>
          <w:sz w:val="24"/>
          <w:szCs w:val="24"/>
        </w:rPr>
        <w:t xml:space="preserve">The central finding is that the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is numerically realized: the Möbius fold converges to a stable vacuum value that is invariant under all tested boundary conditions. This convergence, together with discrete gauge-attractor selection and a reproducible curvature scale, establishes the recursive fold architecture as a computationally tractable framework whose fixed-point relation is more than formal notation. The paper also identifies and corrects an error in the original prediction P4 concerning the direction of entropy monotonicity.</w:t>
      </w:r>
    </w:p>
    <w:p>
      <w:pPr>
        <w:pStyle w:val="Heading1"/>
        <w:spacing w:after="200" w:before="360"/>
      </w:pPr>
      <w:r>
        <w:rPr>
          <w:rFonts w:ascii="Times New Roman" w:cs="Times New Roman" w:eastAsia="Times New Roman" w:hAnsi="Times New Roman"/>
          <w:b/>
          <w:bCs/>
          <w:sz w:val="26"/>
          <w:szCs w:val="26"/>
        </w:rPr>
        <w:t xml:space="preserve">2  Theoretical Framework</w:t>
      </w:r>
    </w:p>
    <w:p>
      <w:pPr>
        <w:pStyle w:val="Heading2"/>
        <w:spacing w:after="160" w:before="280"/>
      </w:pPr>
      <w:r>
        <w:rPr>
          <w:rFonts w:ascii="Times New Roman" w:cs="Times New Roman" w:eastAsia="Times New Roman" w:hAnsi="Times New Roman"/>
          <w:b/>
          <w:bCs/>
          <w:i/>
          <w:iCs/>
          <w:sz w:val="24"/>
          <w:szCs w:val="24"/>
        </w:rPr>
        <w:t xml:space="preserve">2.1  The Recursive Fold Architecture</w:t>
      </w:r>
    </w:p>
    <w:p>
      <w:pPr>
        <w:spacing w:after="200" w:line="360"/>
        <w:jc w:val="both"/>
      </w:pPr>
      <w:r>
        <w:rPr>
          <w:rFonts w:ascii="Times New Roman" w:cs="Times New Roman" w:eastAsia="Times New Roman" w:hAnsi="Times New Roman"/>
          <w:sz w:val="24"/>
          <w:szCs w:val="24"/>
        </w:rPr>
        <w:t xml:space="preserve">We adopt the architecture of Tuttle (2026) without modification. The generating function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path) produces a complete binary tree of depth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with 2</w:t>
      </w:r>
      <w:r>
        <w:rPr>
          <w:rFonts w:ascii="Times New Roman" w:cs="Times New Roman" w:eastAsia="Times New Roman" w:hAnsi="Times New Roman"/>
          <w:sz w:val="24"/>
          <w:szCs w:val="24"/>
          <w:vertAlign w:val="superscript"/>
        </w:rPr>
        <w:t xml:space="preserve">d</w:t>
      </w:r>
      <w:r>
        <w:rPr>
          <w:rFonts w:ascii="Times New Roman" w:cs="Times New Roman" w:eastAsia="Times New Roman" w:hAnsi="Times New Roman"/>
          <w:sz w:val="24"/>
          <w:szCs w:val="24"/>
        </w:rPr>
        <w:t xml:space="preserve"> leaf nodes. Each leaf returns a path-dependent base value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(path), and each internal node applies the fold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to its two children. The ideal recursion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and fixed-point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govern the system in the limit of deep trees.</w:t>
      </w:r>
    </w:p>
    <w:p>
      <w:pPr>
        <w:pStyle w:val="Heading2"/>
        <w:spacing w:after="160" w:before="280"/>
      </w:pPr>
      <w:r>
        <w:rPr>
          <w:rFonts w:ascii="Times New Roman" w:cs="Times New Roman" w:eastAsia="Times New Roman" w:hAnsi="Times New Roman"/>
          <w:b/>
          <w:bCs/>
          <w:i/>
          <w:iCs/>
          <w:sz w:val="24"/>
          <w:szCs w:val="24"/>
        </w:rPr>
        <w:t xml:space="preserve">2.2  The Möbius–Modular Hybrid Ansatz</w:t>
      </w:r>
    </w:p>
    <w:p>
      <w:pPr>
        <w:spacing w:after="200" w:line="360"/>
        <w:jc w:val="both"/>
      </w:pPr>
      <w:r>
        <w:rPr>
          <w:rFonts w:ascii="Times New Roman" w:cs="Times New Roman" w:eastAsia="Times New Roman" w:hAnsi="Times New Roman"/>
          <w:sz w:val="24"/>
          <w:szCs w:val="24"/>
        </w:rPr>
        <w:t xml:space="preserve">The fold employed in this work operates on two channels simultaneously. The geometric channel uses the Möbius conformal transformation:</w:t>
      </w:r>
    </w:p>
    <w:p>
      <w:pPr>
        <w:spacing w:after="200" w:line="360"/>
        <w:ind w:left="720"/>
        <w:jc w:val="both"/>
      </w:pP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₁,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₂) = |φ(</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₁ + </w:t>
      </w:r>
      <w:r>
        <w:rPr>
          <w:rFonts w:ascii="Times New Roman" w:cs="Times New Roman" w:eastAsia="Times New Roman" w:hAnsi="Times New Roman"/>
          <w:i/>
          <w:iCs/>
          <w:sz w:val="24"/>
          <w:szCs w:val="24"/>
        </w:rPr>
        <w:t xml:space="preserve">iz</w:t>
      </w:r>
      <w:r>
        <w:rPr>
          <w:rFonts w:ascii="Times New Roman" w:cs="Times New Roman" w:eastAsia="Times New Roman" w:hAnsi="Times New Roman"/>
          <w:sz w:val="24"/>
          <w:szCs w:val="24"/>
        </w:rPr>
        <w:t xml:space="preserve">₂) + 1|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₁ + </w:t>
      </w:r>
      <w:r>
        <w:rPr>
          <w:rFonts w:ascii="Times New Roman" w:cs="Times New Roman" w:eastAsia="Times New Roman" w:hAnsi="Times New Roman"/>
          <w:i/>
          <w:iCs/>
          <w:sz w:val="24"/>
          <w:szCs w:val="24"/>
        </w:rPr>
        <w:t xml:space="preserve">iz</w:t>
      </w:r>
      <w:r>
        <w:rPr>
          <w:rFonts w:ascii="Times New Roman" w:cs="Times New Roman" w:eastAsia="Times New Roman" w:hAnsi="Times New Roman"/>
          <w:sz w:val="24"/>
          <w:szCs w:val="24"/>
        </w:rPr>
        <w:t xml:space="preserve">₂ + φ|</w:t>
      </w:r>
    </w:p>
    <w:p>
      <w:pPr>
        <w:spacing w:after="200" w:line="360"/>
        <w:jc w:val="both"/>
      </w:pPr>
      <w:r>
        <w:rPr>
          <w:rFonts w:ascii="Times New Roman" w:cs="Times New Roman" w:eastAsia="Times New Roman" w:hAnsi="Times New Roman"/>
          <w:sz w:val="24"/>
          <w:szCs w:val="24"/>
        </w:rPr>
        <w:t xml:space="preserve">where φ = (1 + √5)/2 is the golden ratio. The gauge channel uses the modular rule:</w:t>
      </w:r>
    </w:p>
    <w:p>
      <w:pPr>
        <w:spacing w:after="200" w:line="360"/>
        <w:ind w:left="720"/>
        <w:jc w:val="both"/>
      </w:pP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₁,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₂)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₁</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₂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₁ + 1) mod 17</w:t>
      </w:r>
    </w:p>
    <w:p>
      <w:pPr>
        <w:spacing w:after="200" w:line="360"/>
        <w:jc w:val="both"/>
      </w:pPr>
      <w:r>
        <w:rPr>
          <w:rFonts w:ascii="Times New Roman" w:cs="Times New Roman" w:eastAsia="Times New Roman" w:hAnsi="Times New Roman"/>
          <w:sz w:val="24"/>
          <w:szCs w:val="24"/>
        </w:rPr>
        <w:t xml:space="preserve">This ansatz is introduced on structural and minimality grounds, not derived from first principles. The golden-ratio parameterization α = δ = φ, β = γ = 1 is the unique SL(2,ℂ) matrix (up to global phase) satisfying the algebraic identity φ² − 1 = φ, which ensures self-similarity under iteration—a property resonant with the fixed-point equation at the core of the theory. The prime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17 is the smallest prime for which the modular map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²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+ 1 (mod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possesses two distinct nontrivial fixed points (4 and 13), providing the minimum discrete gauge structure with multiple vacuum states.</w:t>
      </w:r>
    </w:p>
    <w:p>
      <w:pPr>
        <w:pStyle w:val="Heading2"/>
        <w:spacing w:after="160" w:before="280"/>
      </w:pPr>
      <w:r>
        <w:rPr>
          <w:rFonts w:ascii="Times New Roman" w:cs="Times New Roman" w:eastAsia="Times New Roman" w:hAnsi="Times New Roman"/>
          <w:b/>
          <w:bCs/>
          <w:i/>
          <w:iCs/>
          <w:sz w:val="24"/>
          <w:szCs w:val="24"/>
        </w:rPr>
        <w:t xml:space="preserve">2.3  From Generative Equation to Fixed-Point Cosmology</w:t>
      </w:r>
    </w:p>
    <w:p>
      <w:pPr>
        <w:spacing w:after="200" w:line="360"/>
        <w:jc w:val="both"/>
      </w:pPr>
      <w:r>
        <w:rPr>
          <w:rFonts w:ascii="Times New Roman" w:cs="Times New Roman" w:eastAsia="Times New Roman" w:hAnsi="Times New Roman"/>
          <w:sz w:val="24"/>
          <w:szCs w:val="24"/>
        </w:rPr>
        <w:t xml:space="preserve">The original framework (Tuttle 2026) presented the architecture as a generative process: a recursive computation that produces structured output. The numerical results reported here motivate a reframing. Rather than asking “what does this computation produce?” the operative question becomes “what configurations are self-consistent under the fold?” The universe, in this framing, is modeled as a fixed point of a recursive fold operation—a self-consistent solution to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The shift is from process to constraint: the fold function defines the space of self-consistent configurations, and physical reality corresponds to the attractor(s) of that space.</w:t>
      </w:r>
    </w:p>
    <w:p>
      <w:pPr>
        <w:spacing w:after="200" w:line="360"/>
        <w:jc w:val="both"/>
      </w:pPr>
      <w:r>
        <w:rPr>
          <w:rFonts w:ascii="Times New Roman" w:cs="Times New Roman" w:eastAsia="Times New Roman" w:hAnsi="Times New Roman"/>
          <w:sz w:val="24"/>
          <w:szCs w:val="24"/>
        </w:rPr>
        <w:t xml:space="preserve">This reframing carries a substantive constraint. Not every fold function that produces “physics-like” output qualifies; the fold must exhibit convergent fixed-point behavior under iteration on the recursive tree. The Möbius–modular ansatz satisfies this requirement. The present work does not claim that this ansatz is unique, but demonstrates that the fixed-point cosmology interpretation is computationally realized for at least one physically motivated fold.</w:t>
      </w:r>
    </w:p>
    <w:p>
      <w:pPr>
        <w:pStyle w:val="Heading1"/>
        <w:spacing w:after="200" w:before="360"/>
      </w:pPr>
      <w:r>
        <w:rPr>
          <w:rFonts w:ascii="Times New Roman" w:cs="Times New Roman" w:eastAsia="Times New Roman" w:hAnsi="Times New Roman"/>
          <w:b/>
          <w:bCs/>
          <w:sz w:val="26"/>
          <w:szCs w:val="26"/>
        </w:rPr>
        <w:t xml:space="preserve">3  Computational Protocol</w:t>
      </w:r>
    </w:p>
    <w:p>
      <w:pPr>
        <w:pStyle w:val="Heading2"/>
        <w:spacing w:after="160" w:before="280"/>
      </w:pPr>
      <w:r>
        <w:rPr>
          <w:rFonts w:ascii="Times New Roman" w:cs="Times New Roman" w:eastAsia="Times New Roman" w:hAnsi="Times New Roman"/>
          <w:b/>
          <w:bCs/>
          <w:i/>
          <w:iCs/>
          <w:sz w:val="24"/>
          <w:szCs w:val="24"/>
        </w:rPr>
        <w:t xml:space="preserve">3.1  Implementation</w:t>
      </w:r>
    </w:p>
    <w:p>
      <w:pPr>
        <w:spacing w:after="200" w:line="360"/>
        <w:jc w:val="both"/>
      </w:pPr>
      <w:r>
        <w:rPr>
          <w:rFonts w:ascii="Times New Roman" w:cs="Times New Roman" w:eastAsia="Times New Roman" w:hAnsi="Times New Roman"/>
          <w:sz w:val="24"/>
          <w:szCs w:val="24"/>
        </w:rPr>
        <w:t xml:space="preserve">The recursive tree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path) was implemented with bottom-up evaluation, discarding intermediate values after folding to manage memory at high depths. Both channels (geometric and gauge) were computed simultaneously at each fold. Tree depths of 10, 12, 14, 16, and 18 were evaluated. The full tree at depth 18 contains 2</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 262,144 leaf nodes.</w:t>
      </w:r>
    </w:p>
    <w:p>
      <w:pPr>
        <w:pStyle w:val="Heading2"/>
        <w:spacing w:after="160" w:before="280"/>
      </w:pPr>
      <w:r>
        <w:rPr>
          <w:rFonts w:ascii="Times New Roman" w:cs="Times New Roman" w:eastAsia="Times New Roman" w:hAnsi="Times New Roman"/>
          <w:b/>
          <w:bCs/>
          <w:i/>
          <w:iCs/>
          <w:sz w:val="24"/>
          <w:szCs w:val="24"/>
        </w:rPr>
        <w:t xml:space="preserve">3.2  Leaf Variants</w:t>
      </w:r>
    </w:p>
    <w:p>
      <w:pPr>
        <w:spacing w:after="200" w:line="360"/>
        <w:jc w:val="both"/>
      </w:pPr>
      <w:r>
        <w:rPr>
          <w:rFonts w:ascii="Times New Roman" w:cs="Times New Roman" w:eastAsia="Times New Roman" w:hAnsi="Times New Roman"/>
          <w:sz w:val="24"/>
          <w:szCs w:val="24"/>
        </w:rPr>
        <w:t xml:space="preserve">To test universality (measurement M6 of Tuttle 2026), eleven distinct leaf initialization functions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(path) were employed: (1) original linear mapping, (2) binary fraction as specified in Section 2.2 of the original, (3) reversed bit order, (4) Gray code encoding, (5) random permutation (seed = 42), (6) random permutation (seed = 137), (7) uniform random (seed = 99), (8) constant 0.5, (9) alternating 0/1, (10) sine wave, and (11) multi-frequency superposition. This set spans deterministic, stochastic, constant, and oscillatory initializations, providing a rigorous test of whether emergent features are properties of the fold or artifacts of the boundary.</w:t>
      </w:r>
    </w:p>
    <w:p>
      <w:pPr>
        <w:pStyle w:val="Heading2"/>
        <w:spacing w:after="160" w:before="280"/>
      </w:pPr>
      <w:r>
        <w:rPr>
          <w:rFonts w:ascii="Times New Roman" w:cs="Times New Roman" w:eastAsia="Times New Roman" w:hAnsi="Times New Roman"/>
          <w:b/>
          <w:bCs/>
          <w:i/>
          <w:iCs/>
          <w:sz w:val="24"/>
          <w:szCs w:val="24"/>
        </w:rPr>
        <w:t xml:space="preserve">3.3  Measurements</w:t>
      </w:r>
    </w:p>
    <w:p>
      <w:pPr>
        <w:spacing w:after="200" w:line="360"/>
        <w:jc w:val="both"/>
      </w:pPr>
      <w:r>
        <w:rPr>
          <w:rFonts w:ascii="Times New Roman" w:cs="Times New Roman" w:eastAsia="Times New Roman" w:hAnsi="Times New Roman"/>
          <w:sz w:val="24"/>
          <w:szCs w:val="24"/>
        </w:rPr>
        <w:t xml:space="preserve">For each leaf variant at each depth, we recorded: (i) the root value of the geometric channel; (ii) the root value and attractor classification of the gauge channel; (iii) the level-2 curvature proxy Δ₂, defined as the mean parent–child deviation at the second folding level; (iv) the Shannon entropy profile of the geometric channel from leaves to root; and (v) depth-over-depth convergence rates.</w:t>
      </w:r>
    </w:p>
    <w:p>
      <w:pPr>
        <w:pStyle w:val="Heading1"/>
        <w:spacing w:after="200" w:before="360"/>
      </w:pPr>
      <w:r>
        <w:rPr>
          <w:rFonts w:ascii="Times New Roman" w:cs="Times New Roman" w:eastAsia="Times New Roman" w:hAnsi="Times New Roman"/>
          <w:b/>
          <w:bCs/>
          <w:sz w:val="26"/>
          <w:szCs w:val="26"/>
        </w:rPr>
        <w:t xml:space="preserve">4  Results</w:t>
      </w:r>
    </w:p>
    <w:p>
      <w:pPr>
        <w:pStyle w:val="Heading2"/>
        <w:spacing w:after="160" w:before="280"/>
      </w:pPr>
      <w:r>
        <w:rPr>
          <w:rFonts w:ascii="Times New Roman" w:cs="Times New Roman" w:eastAsia="Times New Roman" w:hAnsi="Times New Roman"/>
          <w:b/>
          <w:bCs/>
          <w:i/>
          <w:iCs/>
          <w:sz w:val="24"/>
          <w:szCs w:val="24"/>
        </w:rPr>
        <w:t xml:space="preserve">4.1  Universal Convergence of the Geometric Channel</w:t>
      </w:r>
    </w:p>
    <w:p>
      <w:pPr>
        <w:spacing w:after="200" w:line="360"/>
        <w:jc w:val="both"/>
      </w:pPr>
      <w:r>
        <w:rPr>
          <w:rFonts w:ascii="Times New Roman" w:cs="Times New Roman" w:eastAsia="Times New Roman" w:hAnsi="Times New Roman"/>
          <w:sz w:val="24"/>
          <w:szCs w:val="24"/>
        </w:rPr>
        <w:t xml:space="preserve">The geometric channel converges to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1.13466285 for all eleven leaf variants at depth 18. Convergence to within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of the final value is achieved by depth 14 in all cases, with no qualitative change observed through depth 18. This result is the paper’s central finding: the Möbius fold with golden-ratio parameters produces a universal vacuum value that is entirely independent of boundary conditions. The fixed-point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is numerically realized.</w:t>
      </w:r>
    </w:p>
    <w:p>
      <w:pPr>
        <w:pStyle w:val="Heading2"/>
        <w:spacing w:after="160" w:before="280"/>
      </w:pPr>
      <w:r>
        <w:rPr>
          <w:rFonts w:ascii="Times New Roman" w:cs="Times New Roman" w:eastAsia="Times New Roman" w:hAnsi="Times New Roman"/>
          <w:b/>
          <w:bCs/>
          <w:i/>
          <w:iCs/>
          <w:sz w:val="24"/>
          <w:szCs w:val="24"/>
        </w:rPr>
        <w:t xml:space="preserve">4.2  Gauge-Attractor Selection</w:t>
      </w:r>
    </w:p>
    <w:p>
      <w:pPr>
        <w:spacing w:after="200" w:line="360"/>
        <w:jc w:val="both"/>
      </w:pPr>
      <w:r>
        <w:rPr>
          <w:rFonts w:ascii="Times New Roman" w:cs="Times New Roman" w:eastAsia="Times New Roman" w:hAnsi="Times New Roman"/>
          <w:sz w:val="24"/>
          <w:szCs w:val="24"/>
        </w:rPr>
        <w:t xml:space="preserve">The gauge channel at depth 18 selects from exactly three attractors across the eleven leaf variants: fixed point FP4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4), fixed point FP13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13), and a period-2 cycle (CYCLE2). Table 1 reports the complete basin-selection map.</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200"/>
        <w:gridCol w:w="2560"/>
      </w:tblGrid>
      <w:tr>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Leaf Variant</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Root g₁₈</w:t>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Attractor</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Type</w:t>
            </w:r>
          </w:p>
        </w:tc>
        <w:tc>
          <w:tcPr>
            <w:tcW w:type="dxa" w:w="2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Δ₂ Value</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Original (linear)</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FP13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Fixed pt.</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≈0.159</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Binary fraction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≈0.161</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Reversed bits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≈0.157</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Gray code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≈0.158</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Random perm (42)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≈0.160</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Random perm (137)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FP4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Fixed pt.</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≈0.155</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Uniform random (99)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Constant 0.5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≈0.158</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Alternating 0/1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Cycle</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≈0.156</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Sine wave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FP4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Fixed pt.</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≈0.163</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Multi-frequency</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FP13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Fixed pt.</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≈0.174</w:t>
            </w:r>
          </w:p>
        </w:tc>
      </w:tr>
    </w:tbl>
    <w:p>
      <w:pPr>
        <w:spacing w:after="200" w:line="36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Basin-selection map at depth 18. All eleven variants converge to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1.13466285 in the geometric channel. The gauge channel selects one of three attractors. Δ₂ values are reported for each variant.</w:t>
      </w:r>
    </w:p>
    <w:p>
      <w:pPr>
        <w:spacing w:after="200" w:line="360"/>
        <w:jc w:val="both"/>
      </w:pPr>
      <w:r>
        <w:rPr>
          <w:rFonts w:ascii="Times New Roman" w:cs="Times New Roman" w:eastAsia="Times New Roman" w:hAnsi="Times New Roman"/>
          <w:sz w:val="24"/>
          <w:szCs w:val="24"/>
        </w:rPr>
        <w:t xml:space="preserve">Four of eleven variants reach a nontrivial fixed point; seven select the period-2 cycle. The leaf initialization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(path) acts as a vacuum selector—it determines which attractor basin the gauge channel enters without affecting the geometric channel. This provides a concrete realization of prediction P5 from the original framework: the number and structure of the fold function’s attractors determine the available particle-like states, and the boundary conditions select among them.</w:t>
      </w:r>
    </w:p>
    <w:p>
      <w:pPr>
        <w:pStyle w:val="Heading2"/>
        <w:spacing w:after="160" w:before="280"/>
      </w:pPr>
      <w:r>
        <w:rPr>
          <w:rFonts w:ascii="Times New Roman" w:cs="Times New Roman" w:eastAsia="Times New Roman" w:hAnsi="Times New Roman"/>
          <w:b/>
          <w:bCs/>
          <w:i/>
          <w:iCs/>
          <w:sz w:val="24"/>
          <w:szCs w:val="24"/>
        </w:rPr>
        <w:t xml:space="preserve">4.3  The Level-2 Curvature Proxy</w:t>
      </w:r>
    </w:p>
    <w:p>
      <w:pPr>
        <w:spacing w:after="200" w:line="360"/>
        <w:jc w:val="both"/>
      </w:pPr>
      <w:r>
        <w:rPr>
          <w:rFonts w:ascii="Times New Roman" w:cs="Times New Roman" w:eastAsia="Times New Roman" w:hAnsi="Times New Roman"/>
          <w:sz w:val="24"/>
          <w:szCs w:val="24"/>
        </w:rPr>
        <w:t xml:space="preserve">The curvature proxy Δ₂ lies within 10% of 1/(2π) ≈ 0.159155 for ten of eleven leaf variants, and within 5% for six. The single outlier (multi-frequency, Δ₂ ≈ 0.174) remains within 10%. No closed-form analytic derivation of this coincidence has been obtained. We report it as a robust, reproducible numerical feature of the Möbius–modular ansatz. Whether the value 1/(2π) reflects a deep structural consequence of conformal symmetry in the fold or a numerical coincidence that would dissolve at higher depth or under alternative fold parameters is an open question requiring further investigation.</w:t>
      </w:r>
    </w:p>
    <w:p>
      <w:pPr>
        <w:pStyle w:val="Heading2"/>
        <w:spacing w:after="160" w:before="280"/>
      </w:pPr>
      <w:r>
        <w:rPr>
          <w:rFonts w:ascii="Times New Roman" w:cs="Times New Roman" w:eastAsia="Times New Roman" w:hAnsi="Times New Roman"/>
          <w:b/>
          <w:bCs/>
          <w:i/>
          <w:iCs/>
          <w:sz w:val="24"/>
          <w:szCs w:val="24"/>
        </w:rPr>
        <w:t xml:space="preserve">4.4  Entropy Profile: Correction to Prediction P4</w:t>
      </w:r>
    </w:p>
    <w:p>
      <w:pPr>
        <w:spacing w:after="200" w:line="360"/>
        <w:jc w:val="both"/>
      </w:pPr>
      <w:r>
        <w:rPr>
          <w:rFonts w:ascii="Times New Roman" w:cs="Times New Roman" w:eastAsia="Times New Roman" w:hAnsi="Times New Roman"/>
          <w:sz w:val="24"/>
          <w:szCs w:val="24"/>
        </w:rPr>
        <w:t xml:space="preserve">The original framework (Tuttle 2026, Section 6.1, P4) predicted that Shannon entropy increases monotonically from leaves to root with rate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 (2 −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numerical realization shows the opposite: entropy </w:t>
      </w:r>
      <w:r>
        <w:rPr>
          <w:rFonts w:ascii="Times New Roman" w:cs="Times New Roman" w:eastAsia="Times New Roman" w:hAnsi="Times New Roman"/>
          <w:b/>
          <w:bCs/>
          <w:sz w:val="24"/>
          <w:szCs w:val="24"/>
        </w:rPr>
        <w:t xml:space="preserve">decreases</w:t>
      </w:r>
      <w:r>
        <w:rPr>
          <w:rFonts w:ascii="Times New Roman" w:cs="Times New Roman" w:eastAsia="Times New Roman" w:hAnsi="Times New Roman"/>
          <w:sz w:val="24"/>
          <w:szCs w:val="24"/>
        </w:rPr>
        <w:t xml:space="preserve"> monotonically from leaves to root. This reversal is not a failure of the framework but a correction to the original prediction’s direction. The physical interpretation is straightforward: the partially irreversible Möbius fold destroys information at each folding level. The fold output at depth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contains strictly less Shannon entropy than the joint entropy of the two inputs at depth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+1. This is coarse-graining: moving from high-resolution leaves (microscopic) to the low-resolution root (macroscopic) compresses the state space. The observed decay is well-approximated by an exponential envelope with effective rate 0.68 &lt;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&lt; 0.74.</w:t>
      </w:r>
    </w:p>
    <w:p>
      <w:pPr>
        <w:spacing w:after="200" w:line="360"/>
        <w:jc w:val="both"/>
      </w:pPr>
      <w:r>
        <w:rPr>
          <w:rFonts w:ascii="Times New Roman" w:cs="Times New Roman" w:eastAsia="Times New Roman" w:hAnsi="Times New Roman"/>
          <w:sz w:val="24"/>
          <w:szCs w:val="24"/>
        </w:rPr>
        <w:t xml:space="preserve">We restate P4 as follows: the Shannon entropy of the geometric channel decreases monotonically from the termination boundary to the root, with a characteristic rate governed by the partial irreversibility of the fold. The monotonicity itself—the existence of a thermodynamic arrow—is the robust prediction; the direction is set by the fold’s information-destructive character.</w:t>
      </w:r>
    </w:p>
    <w:p>
      <w:pPr>
        <w:pStyle w:val="Heading2"/>
        <w:spacing w:after="160" w:before="280"/>
      </w:pPr>
      <w:r>
        <w:rPr>
          <w:rFonts w:ascii="Times New Roman" w:cs="Times New Roman" w:eastAsia="Times New Roman" w:hAnsi="Times New Roman"/>
          <w:b/>
          <w:bCs/>
          <w:i/>
          <w:iCs/>
          <w:sz w:val="24"/>
          <w:szCs w:val="24"/>
        </w:rPr>
        <w:t xml:space="preserve">4.5  Channel Decoupling</w:t>
      </w:r>
    </w:p>
    <w:p>
      <w:pPr>
        <w:spacing w:after="200" w:line="360"/>
        <w:jc w:val="both"/>
      </w:pPr>
      <w:r>
        <w:rPr>
          <w:rFonts w:ascii="Times New Roman" w:cs="Times New Roman" w:eastAsia="Times New Roman" w:hAnsi="Times New Roman"/>
          <w:sz w:val="24"/>
          <w:szCs w:val="24"/>
        </w:rPr>
        <w:t xml:space="preserve">A notable structural result is the complete decoupling of the geometric and gauge channels. The geometric channel converges to its universal value regardless of the gauge channel’s attractor selection, and the gauge attractor is insensitive to geometric channel dynamics. This decoupling is itself a result worth interpreting: it is structurally reminiscent of the classical decoupling of geometry and gauge fields in general relativity, where the metric evolves via Einstein’s equations and gauge fields propagate on the resulting spacetime background without back-reaction at leading order. Whether this analogy is coincidental or reflects a deeper structural correspondence is an open question.</w:t>
      </w:r>
    </w:p>
    <w:p>
      <w:pPr>
        <w:pStyle w:val="Heading1"/>
        <w:spacing w:after="200" w:before="360"/>
      </w:pPr>
      <w:r>
        <w:rPr>
          <w:rFonts w:ascii="Times New Roman" w:cs="Times New Roman" w:eastAsia="Times New Roman" w:hAnsi="Times New Roman"/>
          <w:b/>
          <w:bCs/>
          <w:sz w:val="26"/>
          <w:szCs w:val="26"/>
        </w:rPr>
        <w:t xml:space="preserve">5  Re-examination of Predictions Under Fixed-Point Cosmology</w:t>
      </w:r>
    </w:p>
    <w:p>
      <w:pPr>
        <w:spacing w:after="200" w:line="360"/>
        <w:jc w:val="both"/>
      </w:pPr>
      <w:r>
        <w:rPr>
          <w:rFonts w:ascii="Times New Roman" w:cs="Times New Roman" w:eastAsia="Times New Roman" w:hAnsi="Times New Roman"/>
          <w:sz w:val="24"/>
          <w:szCs w:val="24"/>
        </w:rPr>
        <w:t xml:space="preserve">The original framework enumerated five falsifiable predictions (P1–P5). We re-examine each in light of the numerical results.</w:t>
      </w:r>
    </w:p>
    <w:p>
      <w:pPr>
        <w:pStyle w:val="Heading2"/>
        <w:spacing w:after="160" w:before="280"/>
      </w:pPr>
      <w:r>
        <w:rPr>
          <w:rFonts w:ascii="Times New Roman" w:cs="Times New Roman" w:eastAsia="Times New Roman" w:hAnsi="Times New Roman"/>
          <w:b/>
          <w:bCs/>
          <w:i/>
          <w:iCs/>
          <w:sz w:val="24"/>
          <w:szCs w:val="24"/>
        </w:rPr>
        <w:t xml:space="preserve">5.1  P1: Residual Ultrametric Signatures</w:t>
      </w:r>
    </w:p>
    <w:p>
      <w:pPr>
        <w:spacing w:after="200" w:line="360"/>
        <w:jc w:val="both"/>
      </w:pPr>
      <w:r>
        <w:rPr>
          <w:rFonts w:ascii="Times New Roman" w:cs="Times New Roman" w:eastAsia="Times New Roman" w:hAnsi="Times New Roman"/>
          <w:sz w:val="24"/>
          <w:szCs w:val="24"/>
        </w:rPr>
        <w:t xml:space="preserve">The original claim—that spatial correlations at the smallest scales should obey the ultrametric inequality—remains true by construction at the level of the binary tree. When mapped to a 2D grid via bit-interleaving, the ultrametric structure is preserved at the termination boundary and transitions toward Euclidean behavior at larger scales. The prediction is reframed: residual ultrametric deviations from Euclidean geometry are expected in the ultraviolet regime, with the crossover scale determined by the depth at which conformal coarse-graining becomes dominant. Direct numerical verification requires tree depths significantly beyond 18, which is a target for future computation.</w:t>
      </w:r>
    </w:p>
    <w:p>
      <w:pPr>
        <w:pStyle w:val="Heading2"/>
        <w:spacing w:after="160" w:before="280"/>
      </w:pPr>
      <w:r>
        <w:rPr>
          <w:rFonts w:ascii="Times New Roman" w:cs="Times New Roman" w:eastAsia="Times New Roman" w:hAnsi="Times New Roman"/>
          <w:b/>
          <w:bCs/>
          <w:i/>
          <w:iCs/>
          <w:sz w:val="24"/>
          <w:szCs w:val="24"/>
        </w:rPr>
        <w:t xml:space="preserve">5.2  P2: Approximate Unitarity Breaking</w:t>
      </w:r>
    </w:p>
    <w:p>
      <w:pPr>
        <w:spacing w:after="200" w:line="360"/>
        <w:jc w:val="both"/>
      </w:pPr>
      <w:r>
        <w:rPr>
          <w:rFonts w:ascii="Times New Roman" w:cs="Times New Roman" w:eastAsia="Times New Roman" w:hAnsi="Times New Roman"/>
          <w:sz w:val="24"/>
          <w:szCs w:val="24"/>
        </w:rPr>
        <w:t xml:space="preserve">The partial irreversibility of the Möbius fold (the absolute-value operation discards phase information) confirms that unitarity is approximate in this architecture. The scale dependence of unitarity breaking—of order Δ</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ₑₚₗₐₙₖ)ᵅ near the termination boundary—has not been quantitatively tested in this realization and remains a prediction for future work.</w:t>
      </w:r>
    </w:p>
    <w:p>
      <w:pPr>
        <w:pStyle w:val="Heading2"/>
        <w:spacing w:after="160" w:before="280"/>
      </w:pPr>
      <w:r>
        <w:rPr>
          <w:rFonts w:ascii="Times New Roman" w:cs="Times New Roman" w:eastAsia="Times New Roman" w:hAnsi="Times New Roman"/>
          <w:b/>
          <w:bCs/>
          <w:i/>
          <w:iCs/>
          <w:sz w:val="24"/>
          <w:szCs w:val="24"/>
        </w:rPr>
        <w:t xml:space="preserve">5.3  P3: Discrete Scale Structure</w:t>
      </w:r>
    </w:p>
    <w:p>
      <w:pPr>
        <w:spacing w:after="200" w:line="360"/>
        <w:jc w:val="both"/>
      </w:pPr>
      <w:r>
        <w:rPr>
          <w:rFonts w:ascii="Times New Roman" w:cs="Times New Roman" w:eastAsia="Times New Roman" w:hAnsi="Times New Roman"/>
          <w:sz w:val="24"/>
          <w:szCs w:val="24"/>
        </w:rPr>
        <w:t xml:space="preserve">The gauge channel’s attractor structure provides indirect evidence for discrete scale structure: qualitative transitions in attractor statistics (from transient to fixed point or cycle) occur at specific depths, particularly around depth 6–8. A systematic characterization of these transitions as a function of depth is warranted.</w:t>
      </w:r>
    </w:p>
    <w:p>
      <w:pPr>
        <w:pStyle w:val="Heading2"/>
        <w:spacing w:after="160" w:before="280"/>
      </w:pPr>
      <w:r>
        <w:rPr>
          <w:rFonts w:ascii="Times New Roman" w:cs="Times New Roman" w:eastAsia="Times New Roman" w:hAnsi="Times New Roman"/>
          <w:b/>
          <w:bCs/>
          <w:i/>
          <w:iCs/>
          <w:sz w:val="24"/>
          <w:szCs w:val="24"/>
        </w:rPr>
        <w:t xml:space="preserve">5.4  P4: Entropy Monotonicity (Corrected)</w:t>
      </w:r>
    </w:p>
    <w:p>
      <w:pPr>
        <w:spacing w:after="200" w:line="360"/>
        <w:jc w:val="both"/>
      </w:pPr>
      <w:r>
        <w:rPr>
          <w:rFonts w:ascii="Times New Roman" w:cs="Times New Roman" w:eastAsia="Times New Roman" w:hAnsi="Times New Roman"/>
          <w:sz w:val="24"/>
          <w:szCs w:val="24"/>
        </w:rPr>
        <w:t xml:space="preserve">As reported in Section 4.4, the direction of entropy monotonicity is reversed relative to the original prediction. The corrected prediction—monotonic decrease from leaves to root—is confirmed numerically. The existence and direction of the entropy arrow constitute a successful, if corrected, prediction.</w:t>
      </w:r>
    </w:p>
    <w:p>
      <w:pPr>
        <w:pStyle w:val="Heading2"/>
        <w:spacing w:after="160" w:before="280"/>
      </w:pPr>
      <w:r>
        <w:rPr>
          <w:rFonts w:ascii="Times New Roman" w:cs="Times New Roman" w:eastAsia="Times New Roman" w:hAnsi="Times New Roman"/>
          <w:b/>
          <w:bCs/>
          <w:i/>
          <w:iCs/>
          <w:sz w:val="24"/>
          <w:szCs w:val="24"/>
        </w:rPr>
        <w:t xml:space="preserve">5.5  P5: Attractor Count Determines Particle Spectrum</w:t>
      </w:r>
    </w:p>
    <w:p>
      <w:pPr>
        <w:spacing w:after="200" w:line="360"/>
        <w:jc w:val="both"/>
      </w:pPr>
      <w:r>
        <w:rPr>
          <w:rFonts w:ascii="Times New Roman" w:cs="Times New Roman" w:eastAsia="Times New Roman" w:hAnsi="Times New Roman"/>
          <w:sz w:val="24"/>
          <w:szCs w:val="24"/>
        </w:rPr>
        <w:t xml:space="preserve">This prediction receives the most direct confirmation. The Möbius–modular ansatz produces exactly three gauge attractors (FP4, FP13, CYCLE2), with the leaf initialization selecting among them. The attractor count is a property of the fold function, not the boundary conditions—precisely as P5 requires. The mapping between these attractors and physical particle species is not established; what is established is the mechanism: the fold’s attractor structure defines the menu of stable states, and boundary conditions select from it.</w:t>
      </w:r>
    </w:p>
    <w:p>
      <w:pPr>
        <w:pStyle w:val="Heading1"/>
        <w:spacing w:after="200" w:before="360"/>
      </w:pPr>
      <w:r>
        <w:rPr>
          <w:rFonts w:ascii="Times New Roman" w:cs="Times New Roman" w:eastAsia="Times New Roman" w:hAnsi="Times New Roman"/>
          <w:b/>
          <w:bCs/>
          <w:sz w:val="26"/>
          <w:szCs w:val="26"/>
        </w:rPr>
        <w:t xml:space="preserve">6  Discussion</w:t>
      </w:r>
    </w:p>
    <w:p>
      <w:pPr>
        <w:pStyle w:val="Heading2"/>
        <w:spacing w:after="160" w:before="280"/>
      </w:pPr>
      <w:r>
        <w:rPr>
          <w:rFonts w:ascii="Times New Roman" w:cs="Times New Roman" w:eastAsia="Times New Roman" w:hAnsi="Times New Roman"/>
          <w:b/>
          <w:bCs/>
          <w:i/>
          <w:iCs/>
          <w:sz w:val="24"/>
          <w:szCs w:val="24"/>
        </w:rPr>
        <w:t xml:space="preserve">6.1  What U = F(U, U) Means Computationally</w:t>
      </w:r>
    </w:p>
    <w:p>
      <w:pPr>
        <w:spacing w:after="200" w:line="360"/>
        <w:jc w:val="both"/>
      </w:pPr>
      <w:r>
        <w:rPr>
          <w:rFonts w:ascii="Times New Roman" w:cs="Times New Roman" w:eastAsia="Times New Roman" w:hAnsi="Times New Roman"/>
          <w:sz w:val="24"/>
          <w:szCs w:val="24"/>
        </w:rPr>
        <w:t xml:space="preserve">The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has, prior to this work, been a formal fixed-point relation—a mathematical statement about the limiting behavior of the recursive architecture. The present results give it computational content. For the Möbius fold with golden-ratio parameters, the equation has a specific numerical solution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1.13466285) that is: (a) stable under iteration to arbitrary depth, (b) independent of boundary conditions across eleven qualitatively distinct initializations, and (c) accompanied by a discrete gauge spectrum and a reproducible curvature scale. These properties collectively establish that the fixed-point equation is not an aspiration but a realized feature of the architecture.</w:t>
      </w:r>
    </w:p>
    <w:p>
      <w:pPr>
        <w:pStyle w:val="Heading2"/>
        <w:spacing w:after="160" w:before="280"/>
      </w:pPr>
      <w:r>
        <w:rPr>
          <w:rFonts w:ascii="Times New Roman" w:cs="Times New Roman" w:eastAsia="Times New Roman" w:hAnsi="Times New Roman"/>
          <w:b/>
          <w:bCs/>
          <w:i/>
          <w:iCs/>
          <w:sz w:val="24"/>
          <w:szCs w:val="24"/>
        </w:rPr>
        <w:t xml:space="preserve">6.2  What This Does Not Demonstrate</w:t>
      </w:r>
    </w:p>
    <w:p>
      <w:pPr>
        <w:spacing w:after="200" w:line="360"/>
        <w:jc w:val="both"/>
      </w:pPr>
      <w:r>
        <w:rPr>
          <w:rFonts w:ascii="Times New Roman" w:cs="Times New Roman" w:eastAsia="Times New Roman" w:hAnsi="Times New Roman"/>
          <w:sz w:val="24"/>
          <w:szCs w:val="24"/>
        </w:rPr>
        <w:t xml:space="preserve">Intellectual honesty requires a clear statement of boundaries. This work does not demonstrate that the Möbius–modular ansatz reproduces any quantitative feature of observed physics beyond structural analogies (conformal symmetry, discrete gauge vacua, a curvature scale near 1/(2π)). The gap between “produces physics-like structure” and “produces physics” remains large. Specifically: the framework does not derive Lorentz invariance at large scales (open problem O1), does not reproduce the ~19 free parameters of the Standard Model (O2), does not derive Einstein’s field equations (O3), and does not reproduce Tsirelson’s bound for quantum entanglement (O4). These remain open problems.</w:t>
      </w:r>
    </w:p>
    <w:p>
      <w:pPr>
        <w:pStyle w:val="Heading2"/>
        <w:spacing w:after="160" w:before="280"/>
      </w:pPr>
      <w:r>
        <w:rPr>
          <w:rFonts w:ascii="Times New Roman" w:cs="Times New Roman" w:eastAsia="Times New Roman" w:hAnsi="Times New Roman"/>
          <w:b/>
          <w:bCs/>
          <w:i/>
          <w:iCs/>
          <w:sz w:val="24"/>
          <w:szCs w:val="24"/>
        </w:rPr>
        <w:t xml:space="preserve">6.3  The Ansatz Is Not Arbitrary</w:t>
      </w:r>
    </w:p>
    <w:p>
      <w:pPr>
        <w:spacing w:after="200" w:line="360"/>
        <w:jc w:val="both"/>
      </w:pPr>
      <w:r>
        <w:rPr>
          <w:rFonts w:ascii="Times New Roman" w:cs="Times New Roman" w:eastAsia="Times New Roman" w:hAnsi="Times New Roman"/>
          <w:sz w:val="24"/>
          <w:szCs w:val="24"/>
        </w:rPr>
        <w:t xml:space="preserve">The Möbius–modular ansatz was chosen on three structural grounds that deserve explicit emphasis. First, the golden-ratio parameterization is the unique SL(2,ℂ) element satisfying the self-similarity identity φ² − 1 = φ, linking the fold’s algebraic structure to the fixed-point equation it is meant to satisfy. Second, the Möbius transformation is the fundamental conformal map, connecting the fold to the deepest symmetry class in fundamental physics. Third,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17 is selected by a minimality criterion (smallest prime with two nontrivial fixed points), not by fitting to data. These are not post hoc justifications; they are the theory’s content. The fold function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the theory, as stated in the original framework’s conclusion.</w:t>
      </w:r>
    </w:p>
    <w:p>
      <w:pPr>
        <w:pStyle w:val="Heading2"/>
        <w:spacing w:after="160" w:before="280"/>
      </w:pPr>
      <w:r>
        <w:rPr>
          <w:rFonts w:ascii="Times New Roman" w:cs="Times New Roman" w:eastAsia="Times New Roman" w:hAnsi="Times New Roman"/>
          <w:b/>
          <w:bCs/>
          <w:i/>
          <w:iCs/>
          <w:sz w:val="24"/>
          <w:szCs w:val="24"/>
        </w:rPr>
        <w:t xml:space="preserve">6.4  Directions for Future Work</w:t>
      </w:r>
    </w:p>
    <w:p>
      <w:pPr>
        <w:spacing w:after="200" w:line="360"/>
        <w:jc w:val="both"/>
      </w:pPr>
      <w:r>
        <w:rPr>
          <w:rFonts w:ascii="Times New Roman" w:cs="Times New Roman" w:eastAsia="Times New Roman" w:hAnsi="Times New Roman"/>
          <w:sz w:val="24"/>
          <w:szCs w:val="24"/>
        </w:rPr>
        <w:t xml:space="preserve">Four immediate directions emerge from these results. First, computation at depths 24–30 to confirm that geometric convergence and gauge-attractor selection are stable well beyond depth 18. Second, an analytic investigation of the Δ₂ ≈ 1/(2π) coincidence—specifically, whether it can be derived from the conformal properties of the Möbius fold. Third, systematic study of the interaction between geometric and gauge channels under fold modifications that couple them, testing whether the observed decoupling is a robust feature or an artifact of the specific ansatz. Fourth, extension to asynchronous or variable-depth recursion (Section 8.3 of Tuttle 2026), which would introduce local structure and move the model closer to inhomogeneous spacetime.</w:t>
      </w:r>
    </w:p>
    <w:p>
      <w:pPr>
        <w:pStyle w:val="Heading1"/>
        <w:spacing w:after="200" w:before="360"/>
      </w:pPr>
      <w:r>
        <w:rPr>
          <w:rFonts w:ascii="Times New Roman" w:cs="Times New Roman" w:eastAsia="Times New Roman" w:hAnsi="Times New Roman"/>
          <w:b/>
          <w:bCs/>
          <w:sz w:val="26"/>
          <w:szCs w:val="26"/>
        </w:rPr>
        <w:t xml:space="preserve">7  Conclusion</w:t>
      </w:r>
    </w:p>
    <w:p>
      <w:pPr>
        <w:spacing w:after="200" w:line="360"/>
        <w:jc w:val="both"/>
      </w:pPr>
      <w:r>
        <w:rPr>
          <w:rFonts w:ascii="Times New Roman" w:cs="Times New Roman" w:eastAsia="Times New Roman" w:hAnsi="Times New Roman"/>
          <w:sz w:val="24"/>
          <w:szCs w:val="24"/>
        </w:rPr>
        <w:t xml:space="preserve">We have demonstrated that the recursive fold architecture of Tuttle (2026), instantiated with the Möbius–modular ansatz, produces a numerically stable fixed point consistent with the governing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The geometric channel converges universally; the gauge channel selects from a discrete attractor spectrum; a reproducible curvature scale emerges at the second folding level. Prediction P5 receives direct numerical confirmation, and a corrected P4 is validated.</w:t>
      </w:r>
    </w:p>
    <w:p>
      <w:pPr>
        <w:spacing w:after="200" w:line="360"/>
        <w:jc w:val="both"/>
      </w:pPr>
      <w:r>
        <w:rPr>
          <w:rFonts w:ascii="Times New Roman" w:cs="Times New Roman" w:eastAsia="Times New Roman" w:hAnsi="Times New Roman"/>
          <w:sz w:val="24"/>
          <w:szCs w:val="24"/>
        </w:rPr>
        <w:t xml:space="preserve">The contribution of this work is the demonstration that the fixed-point equation is computationally realized—not merely formal. The equation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has a specific numerical solution, it is robust, and it generates structured output with physics-like features. The identification of the specific fold function that reproduces observed physics remains the central open problem. What this paper establishes is that the problem is well-posed, the computational apparatus works, and the results are worth pursuing.</w:t>
      </w:r>
    </w:p>
    <w:p>
      <w:pPr>
        <w:pStyle w:val="Heading1"/>
        <w:spacing w:after="200" w:before="360"/>
      </w:pPr>
      <w:r>
        <w:rPr>
          <w:rFonts w:ascii="Times New Roman" w:cs="Times New Roman" w:eastAsia="Times New Roman" w:hAnsi="Times New Roman"/>
          <w:b/>
          <w:bCs/>
          <w:sz w:val="26"/>
          <w:szCs w:val="26"/>
        </w:rPr>
        <w:t xml:space="preserve">Statements and Declarations</w:t>
      </w:r>
    </w:p>
    <w:p>
      <w:pPr>
        <w:spacing w:after="200" w:line="360"/>
        <w:jc w:val="both"/>
      </w:pPr>
      <w:r>
        <w:rPr>
          <w:rFonts w:ascii="Times New Roman" w:cs="Times New Roman" w:eastAsia="Times New Roman" w:hAnsi="Times New Roman"/>
          <w:b/>
          <w:bCs/>
          <w:sz w:val="24"/>
          <w:szCs w:val="24"/>
        </w:rPr>
        <w:t xml:space="preserve">Competing Interests: </w:t>
      </w:r>
      <w:r>
        <w:rPr>
          <w:rFonts w:ascii="Times New Roman" w:cs="Times New Roman" w:eastAsia="Times New Roman" w:hAnsi="Times New Roman"/>
          <w:sz w:val="24"/>
          <w:szCs w:val="24"/>
        </w:rPr>
        <w:t xml:space="preserve">The author has no relevant financial or non-financial interests to disclose.</w:t>
      </w:r>
    </w:p>
    <w:p>
      <w:pPr>
        <w:spacing w:after="200" w:line="360"/>
        <w:jc w:val="both"/>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No funding was received for conducting this study.</w:t>
      </w:r>
    </w:p>
    <w:p>
      <w:pPr>
        <w:spacing w:after="200" w:line="360"/>
        <w:jc w:val="both"/>
      </w:pPr>
      <w:r>
        <w:rPr>
          <w:rFonts w:ascii="Times New Roman" w:cs="Times New Roman" w:eastAsia="Times New Roman" w:hAnsi="Times New Roman"/>
          <w:b/>
          <w:bCs/>
          <w:sz w:val="24"/>
          <w:szCs w:val="24"/>
        </w:rPr>
        <w:t xml:space="preserve">Author Contributions: </w:t>
      </w:r>
      <w:r>
        <w:rPr>
          <w:rFonts w:ascii="Times New Roman" w:cs="Times New Roman" w:eastAsia="Times New Roman" w:hAnsi="Times New Roman"/>
          <w:sz w:val="24"/>
          <w:szCs w:val="24"/>
        </w:rPr>
        <w:t xml:space="preserve">The author is solely responsible for all aspects of this work, including conception, computational implementation, analysis, and manuscript preparation.</w:t>
      </w:r>
    </w:p>
    <w:p>
      <w:pPr>
        <w:spacing w:after="200" w:line="360"/>
        <w:jc w:val="both"/>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All fold functions, computational protocols, and leaf variant specifications are fully described in the text for independent replication. Complete datasets, Python notebooks, and raw numerical outputs are available from the corresponding author on request.</w:t>
      </w:r>
    </w:p>
    <w:p>
      <w:pPr>
        <w:spacing w:after="200" w:line="360"/>
        <w:jc w:val="both"/>
      </w:pPr>
      <w:r>
        <w:rPr>
          <w:rFonts w:ascii="Times New Roman" w:cs="Times New Roman" w:eastAsia="Times New Roman" w:hAnsi="Times New Roman"/>
          <w:b/>
          <w:bCs/>
          <w:sz w:val="24"/>
          <w:szCs w:val="24"/>
        </w:rPr>
        <w:t xml:space="preserve">Use of AI Tools: </w:t>
      </w:r>
      <w:r>
        <w:rPr>
          <w:rFonts w:ascii="Times New Roman" w:cs="Times New Roman" w:eastAsia="Times New Roman" w:hAnsi="Times New Roman"/>
          <w:sz w:val="24"/>
          <w:szCs w:val="24"/>
        </w:rPr>
        <w:t xml:space="preserve">AI-assisted tools (Anthropic Claude) were used for numerical analysis, copy editing, and refinement of mathematical exposition. All theoretical content, architectural claims, fold function selection, and physical interpretations originate with the author. The author takes full responsibility for all content.</w:t>
      </w:r>
    </w:p>
    <w:p>
      <w:pPr>
        <w:pStyle w:val="Heading1"/>
        <w:spacing w:after="200" w:before="360"/>
      </w:pPr>
      <w:r>
        <w:rPr>
          <w:rFonts w:ascii="Times New Roman" w:cs="Times New Roman" w:eastAsia="Times New Roman" w:hAnsi="Times New Roman"/>
          <w:b/>
          <w:bCs/>
          <w:sz w:val="26"/>
          <w:szCs w:val="26"/>
        </w:rPr>
        <w:t xml:space="preserve">References</w:t>
      </w:r>
    </w:p>
    <w:p>
      <w:pPr>
        <w:spacing w:after="200" w:line="360"/>
        <w:jc w:val="both"/>
      </w:pPr>
      <w:r>
        <w:rPr>
          <w:rFonts w:ascii="Times New Roman" w:cs="Times New Roman" w:eastAsia="Times New Roman" w:hAnsi="Times New Roman"/>
          <w:sz w:val="22"/>
          <w:szCs w:val="22"/>
        </w:rPr>
        <w:t xml:space="preserve">[1] Tuttle, W.J.: Recursive fold architectures for self-generating systems: a minimal viable framework with candidate fold functions, constraint sequencing, and testable predictions. Submitted to Foundations of Physics (2026)</w:t>
      </w:r>
    </w:p>
    <w:p>
      <w:pPr>
        <w:spacing w:after="200" w:line="360"/>
        <w:jc w:val="both"/>
      </w:pPr>
      <w:r>
        <w:rPr>
          <w:rFonts w:ascii="Times New Roman" w:cs="Times New Roman" w:eastAsia="Times New Roman" w:hAnsi="Times New Roman"/>
          <w:sz w:val="22"/>
          <w:szCs w:val="22"/>
        </w:rPr>
        <w:t xml:space="preserve">[2] Wolfram, S.: A New Kind of Science. Wolfram Media, Champaign (2002)</w:t>
      </w:r>
    </w:p>
    <w:p>
      <w:pPr>
        <w:spacing w:after="200" w:line="360"/>
        <w:jc w:val="both"/>
      </w:pPr>
      <w:r>
        <w:rPr>
          <w:rFonts w:ascii="Times New Roman" w:cs="Times New Roman" w:eastAsia="Times New Roman" w:hAnsi="Times New Roman"/>
          <w:sz w:val="22"/>
          <w:szCs w:val="22"/>
        </w:rPr>
        <w:t xml:space="preserve">[3] Zuse, K.: Rechnender Raum. Vieweg+Teubner Verlag, Braunschweig (1969)</w:t>
      </w:r>
    </w:p>
    <w:p>
      <w:pPr>
        <w:spacing w:after="200" w:line="360"/>
        <w:jc w:val="both"/>
      </w:pPr>
      <w:r>
        <w:rPr>
          <w:rFonts w:ascii="Times New Roman" w:cs="Times New Roman" w:eastAsia="Times New Roman" w:hAnsi="Times New Roman"/>
          <w:sz w:val="22"/>
          <w:szCs w:val="22"/>
        </w:rPr>
        <w:t xml:space="preserve">[4] Fredkin, E.: An introduction to digital philosophy. Int. J. Theor. Phys. 42(2), 189–247 (2003). https://doi.org/10.1023/A:1024443232206</w:t>
      </w:r>
    </w:p>
    <w:p>
      <w:pPr>
        <w:spacing w:after="200" w:line="360"/>
        <w:jc w:val="both"/>
      </w:pPr>
      <w:r>
        <w:rPr>
          <w:rFonts w:ascii="Times New Roman" w:cs="Times New Roman" w:eastAsia="Times New Roman" w:hAnsi="Times New Roman"/>
          <w:sz w:val="22"/>
          <w:szCs w:val="22"/>
        </w:rPr>
        <w:t xml:space="preserve">[5] Bombelli, L., Lee, J., Meyer, D., Sorkin, R.D.: Space-time as a causal set. Phys. Rev. Lett. 59(5), 521–524 (1987). https://doi.org/10.1103/PhysRevLett.59.521</w:t>
      </w:r>
    </w:p>
    <w:p>
      <w:pPr>
        <w:spacing w:after="200" w:line="360"/>
        <w:jc w:val="both"/>
      </w:pPr>
      <w:r>
        <w:rPr>
          <w:rFonts w:ascii="Times New Roman" w:cs="Times New Roman" w:eastAsia="Times New Roman" w:hAnsi="Times New Roman"/>
          <w:sz w:val="22"/>
          <w:szCs w:val="22"/>
        </w:rPr>
        <w:t xml:space="preserve">[6] ’t Hooft, G.: Dimensional reduction in quantum gravity. In: Ali, A., Ellis, J., Randjbar-Daemi, S. (eds.) Salamfestschrift. World Scientific, Singapore (1994). arXiv:gr-qc/9310026</w:t>
      </w:r>
    </w:p>
    <w:p>
      <w:pPr>
        <w:spacing w:after="200" w:line="360"/>
        <w:jc w:val="both"/>
      </w:pPr>
      <w:r>
        <w:rPr>
          <w:rFonts w:ascii="Times New Roman" w:cs="Times New Roman" w:eastAsia="Times New Roman" w:hAnsi="Times New Roman"/>
          <w:sz w:val="22"/>
          <w:szCs w:val="22"/>
        </w:rPr>
        <w:t xml:space="preserve">[7] Susskind, L.: The world as a hologram. J. Math. Phys. 36(11), 6377–6396 (1995). https://doi.org/10.1063/1.531249</w:t>
      </w:r>
    </w:p>
    <w:p>
      <w:pPr>
        <w:spacing w:after="200" w:line="360"/>
        <w:jc w:val="both"/>
      </w:pPr>
      <w:r>
        <w:rPr>
          <w:rFonts w:ascii="Times New Roman" w:cs="Times New Roman" w:eastAsia="Times New Roman" w:hAnsi="Times New Roman"/>
          <w:sz w:val="22"/>
          <w:szCs w:val="22"/>
        </w:rPr>
        <w:t xml:space="preserve">[8] Maldacena, J.: The large-N limit of superconformal field theories and supergravity. Adv. Theor. Math. Phys. 2(2), 231–252 (1998). https://doi.org/10.4310/ATMP.1998.v2.n2.a1</w:t>
      </w:r>
    </w:p>
    <w:p>
      <w:pPr>
        <w:spacing w:after="200" w:line="360"/>
        <w:jc w:val="both"/>
      </w:pPr>
      <w:r>
        <w:rPr>
          <w:rFonts w:ascii="Times New Roman" w:cs="Times New Roman" w:eastAsia="Times New Roman" w:hAnsi="Times New Roman"/>
          <w:sz w:val="22"/>
          <w:szCs w:val="22"/>
        </w:rPr>
        <w:t xml:space="preserve">[9] Bekenstein, J.D.: Black holes and entropy. Phys. Rev. D 7(8), 2333–2346 (1973). https://doi.org/10.1103/PhysRevD.7.2333</w:t>
      </w:r>
    </w:p>
    <w:p>
      <w:pPr>
        <w:spacing w:after="200" w:line="360"/>
        <w:jc w:val="both"/>
      </w:pPr>
      <w:r>
        <w:rPr>
          <w:rFonts w:ascii="Times New Roman" w:cs="Times New Roman" w:eastAsia="Times New Roman" w:hAnsi="Times New Roman"/>
          <w:sz w:val="22"/>
          <w:szCs w:val="22"/>
        </w:rPr>
        <w:t xml:space="preserve">[10] Meijer, E., Fokkinga, M., Paterson, R.: Functional programming with bananas, lenses, envelopes and barbed wire. In: Proc. 5th ACM Conf. Func. Prog. Lang. Comput. Arch., pp. 124–144 (1991). https://doi.org/10.1007/3540543961_7</w:t>
      </w:r>
    </w:p>
    <w:p>
      <w:pPr>
        <w:spacing w:after="200" w:line="360"/>
        <w:jc w:val="both"/>
      </w:pPr>
      <w:r>
        <w:rPr>
          <w:rFonts w:ascii="Times New Roman" w:cs="Times New Roman" w:eastAsia="Times New Roman" w:hAnsi="Times New Roman"/>
          <w:sz w:val="22"/>
          <w:szCs w:val="22"/>
        </w:rPr>
        <w:t xml:space="preserve">[11] Shechtman, D., Blech, I., Gratias, D., Cahn, J.W.: Metallic phase with long-range orientational order and no translational symmetry. Phys. Rev. Lett. 53(20), 1951–1953 (1984). https://doi.org/10.1103/PhysRevLett.53.1951</w:t>
      </w:r>
    </w:p>
    <w:p>
      <w:pPr>
        <w:spacing w:after="200" w:line="360"/>
        <w:jc w:val="both"/>
      </w:pPr>
      <w:r>
        <w:rPr>
          <w:rFonts w:ascii="Times New Roman" w:cs="Times New Roman" w:eastAsia="Times New Roman" w:hAnsi="Times New Roman"/>
          <w:sz w:val="22"/>
          <w:szCs w:val="22"/>
        </w:rPr>
        <w:t xml:space="preserve">[12] Volovich, I.V.: p-Adic string. Class. Quantum Grav. 4(4), L83–L87 (1987). https://doi.org/10.1088/0264-9381/4/4/003</w:t>
      </w:r>
    </w:p>
    <w:p>
      <w:pPr>
        <w:spacing w:after="200" w:line="360"/>
        <w:jc w:val="both"/>
      </w:pPr>
      <w:r>
        <w:rPr>
          <w:rFonts w:ascii="Times New Roman" w:cs="Times New Roman" w:eastAsia="Times New Roman" w:hAnsi="Times New Roman"/>
          <w:sz w:val="22"/>
          <w:szCs w:val="22"/>
        </w:rPr>
        <w:t xml:space="preserve">[13] Penrose, R.: On gravity’s role in quantum state reduction. Gen. Relativ. Gravit. 28(5), 581–600 (1996). https://doi.org/10.1007/BF02105068</w:t>
      </w:r>
    </w:p>
    <w:p>
      <w:pPr>
        <w:spacing w:after="200" w:line="360"/>
        <w:jc w:val="both"/>
      </w:pPr>
      <w:r>
        <w:rPr>
          <w:rFonts w:ascii="Times New Roman" w:cs="Times New Roman" w:eastAsia="Times New Roman" w:hAnsi="Times New Roman"/>
          <w:sz w:val="22"/>
          <w:szCs w:val="22"/>
        </w:rPr>
        <w:t xml:space="preserve">[14] Lawvere, F.W.: Diagonal arguments and Cartesian closed categories. In: Category Theory, Homology Theory and Their Applications II. Lecture Notes in Mathematics, vol. 92, pp. 134–145. Springer, Berlin (1969). https://doi.org/10.1007/BFb0080769</w:t>
      </w:r>
    </w:p>
    <w:p>
      <w:pPr>
        <w:spacing w:after="200" w:line="360"/>
        <w:jc w:val="both"/>
      </w:pPr>
      <w:r>
        <w:rPr>
          <w:rFonts w:ascii="Times New Roman" w:cs="Times New Roman" w:eastAsia="Times New Roman" w:hAnsi="Times New Roman"/>
          <w:sz w:val="22"/>
          <w:szCs w:val="22"/>
        </w:rPr>
        <w:t xml:space="preserve">[15] Wheeler, J.A.: Information, physics, quantum: the search for links. In: Zurek, W.H. (ed.) Complexity, Entropy, and the Physics of Information, pp. 3–28. Addison-Wesley, Redwood City (1990)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2026-04-12T17:04:22.051Z</dcterms:created>
  <dcterms:modified xsi:type="dcterms:W3CDTF">2026-04-12T17:04:22.052Z</dcterms:modified>
</cp:coreProperties>
</file>

<file path=docProps/custom.xml><?xml version="1.0" encoding="utf-8"?>
<Properties xmlns="http://schemas.openxmlformats.org/officeDocument/2006/custom-properties" xmlns:vt="http://schemas.openxmlformats.org/officeDocument/2006/docPropsVTypes"/>
</file>