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43BC" w14:textId="630348CB" w:rsidR="0034429F" w:rsidRPr="00134DD5" w:rsidRDefault="00134DD5">
      <w:pPr>
        <w:jc w:val="center"/>
        <w:rPr>
          <w:rFonts w:ascii="Times New Roman" w:hAnsi="Times New Roman" w:cs="Times New Roman"/>
        </w:rPr>
      </w:pPr>
      <w:r w:rsidRPr="00134DD5">
        <w:rPr>
          <w:rFonts w:ascii="Times New Roman" w:hAnsi="Times New Roman" w:cs="Times New Roman"/>
          <w:b/>
        </w:rPr>
        <w:t>Robustness Check Appendix</w:t>
      </w:r>
      <w:r>
        <w:rPr>
          <w:rFonts w:ascii="Times New Roman" w:eastAsia="宋体" w:hAnsi="Times New Roman" w:cs="Times New Roman" w:hint="eastAsia"/>
          <w:b/>
          <w:lang w:eastAsia="zh-CN"/>
        </w:rPr>
        <w:t xml:space="preserve"> (</w:t>
      </w:r>
      <w:r w:rsidR="00000000" w:rsidRPr="00134DD5">
        <w:rPr>
          <w:rFonts w:ascii="Times New Roman" w:hAnsi="Times New Roman" w:cs="Times New Roman"/>
          <w:b/>
        </w:rPr>
        <w:t>Appendix Tables R1–R4</w:t>
      </w:r>
      <w:r w:rsidR="00000000" w:rsidRPr="00134DD5">
        <w:rPr>
          <w:rFonts w:ascii="Times New Roman" w:hAnsi="Times New Roman" w:cs="Times New Roman"/>
          <w:b/>
        </w:rPr>
        <w:t>）</w:t>
      </w:r>
    </w:p>
    <w:p w14:paraId="61826E38" w14:textId="77777777" w:rsidR="0034429F" w:rsidRDefault="0034429F"/>
    <w:p w14:paraId="63CB3BE6" w14:textId="77777777" w:rsidR="0034429F" w:rsidRPr="00134DD5" w:rsidRDefault="00000000" w:rsidP="00134DD5">
      <w:pPr>
        <w:jc w:val="both"/>
        <w:rPr>
          <w:rFonts w:ascii="Times New Roman" w:hAnsi="Times New Roman" w:cs="Times New Roman"/>
        </w:rPr>
      </w:pPr>
      <w:r w:rsidRPr="00134DD5">
        <w:rPr>
          <w:rFonts w:ascii="Times New Roman" w:hAnsi="Times New Roman" w:cs="Times New Roman"/>
          <w:b/>
        </w:rPr>
        <w:t>Appendix Table R1. Robustness Check: Turning Points and Observed Range of Speech Rate (CPM)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7"/>
        <w:gridCol w:w="1724"/>
        <w:gridCol w:w="1726"/>
        <w:gridCol w:w="1725"/>
        <w:gridCol w:w="1722"/>
      </w:tblGrid>
      <w:tr w:rsidR="0034429F" w:rsidRPr="00134DD5" w14:paraId="091C0AA4" w14:textId="77777777">
        <w:tc>
          <w:tcPr>
            <w:tcW w:w="1728" w:type="dxa"/>
          </w:tcPr>
          <w:p w14:paraId="06C5D36E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Outcome (Engagement)</w:t>
            </w:r>
          </w:p>
        </w:tc>
        <w:tc>
          <w:tcPr>
            <w:tcW w:w="1728" w:type="dxa"/>
          </w:tcPr>
          <w:p w14:paraId="6E4CD383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Turning point (CPM)</w:t>
            </w:r>
          </w:p>
        </w:tc>
        <w:tc>
          <w:tcPr>
            <w:tcW w:w="1728" w:type="dxa"/>
          </w:tcPr>
          <w:p w14:paraId="145B3D68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Bootstrapped 95% CI (CPM)</w:t>
            </w:r>
          </w:p>
        </w:tc>
        <w:tc>
          <w:tcPr>
            <w:tcW w:w="1728" w:type="dxa"/>
          </w:tcPr>
          <w:p w14:paraId="0B4F7927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Observed speech-rate range (CPM)</w:t>
            </w:r>
          </w:p>
        </w:tc>
        <w:tc>
          <w:tcPr>
            <w:tcW w:w="1728" w:type="dxa"/>
          </w:tcPr>
          <w:p w14:paraId="02E793C1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N</w:t>
            </w:r>
          </w:p>
        </w:tc>
      </w:tr>
      <w:tr w:rsidR="0034429F" w:rsidRPr="00134DD5" w14:paraId="371265C6" w14:textId="77777777">
        <w:tc>
          <w:tcPr>
            <w:tcW w:w="1728" w:type="dxa"/>
          </w:tcPr>
          <w:p w14:paraId="13D0D98D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Cognitive engagement (CE-index)</w:t>
            </w:r>
          </w:p>
        </w:tc>
        <w:tc>
          <w:tcPr>
            <w:tcW w:w="1728" w:type="dxa"/>
          </w:tcPr>
          <w:p w14:paraId="4E36A185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304.61</w:t>
            </w:r>
          </w:p>
        </w:tc>
        <w:tc>
          <w:tcPr>
            <w:tcW w:w="1728" w:type="dxa"/>
          </w:tcPr>
          <w:p w14:paraId="20DF5BD3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[282.09, 326.39]</w:t>
            </w:r>
          </w:p>
        </w:tc>
        <w:tc>
          <w:tcPr>
            <w:tcW w:w="1728" w:type="dxa"/>
          </w:tcPr>
          <w:p w14:paraId="33D26A0C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[73.97, 877.06]</w:t>
            </w:r>
          </w:p>
        </w:tc>
        <w:tc>
          <w:tcPr>
            <w:tcW w:w="1728" w:type="dxa"/>
          </w:tcPr>
          <w:p w14:paraId="2A3B1146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528</w:t>
            </w:r>
          </w:p>
        </w:tc>
      </w:tr>
      <w:tr w:rsidR="0034429F" w:rsidRPr="00134DD5" w14:paraId="0C3BEE04" w14:textId="77777777">
        <w:tc>
          <w:tcPr>
            <w:tcW w:w="1728" w:type="dxa"/>
          </w:tcPr>
          <w:p w14:paraId="57D7315F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Affective engagement (AE-index)</w:t>
            </w:r>
          </w:p>
        </w:tc>
        <w:tc>
          <w:tcPr>
            <w:tcW w:w="1728" w:type="dxa"/>
          </w:tcPr>
          <w:p w14:paraId="758DFE8C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322.41</w:t>
            </w:r>
          </w:p>
        </w:tc>
        <w:tc>
          <w:tcPr>
            <w:tcW w:w="1728" w:type="dxa"/>
          </w:tcPr>
          <w:p w14:paraId="636B366C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[296.22, 342.22]</w:t>
            </w:r>
          </w:p>
        </w:tc>
        <w:tc>
          <w:tcPr>
            <w:tcW w:w="1728" w:type="dxa"/>
          </w:tcPr>
          <w:p w14:paraId="2313A6ED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[73.97, 877.06]</w:t>
            </w:r>
          </w:p>
        </w:tc>
        <w:tc>
          <w:tcPr>
            <w:tcW w:w="1728" w:type="dxa"/>
          </w:tcPr>
          <w:p w14:paraId="43F795D5" w14:textId="77777777" w:rsidR="0034429F" w:rsidRPr="00134DD5" w:rsidRDefault="00000000">
            <w:pPr>
              <w:rPr>
                <w:rFonts w:ascii="Times New Roman" w:hAnsi="Times New Roman" w:cs="Times New Roman"/>
              </w:rPr>
            </w:pPr>
            <w:r w:rsidRPr="00134DD5">
              <w:rPr>
                <w:rFonts w:ascii="Times New Roman" w:hAnsi="Times New Roman" w:cs="Times New Roman"/>
              </w:rPr>
              <w:t>528</w:t>
            </w:r>
          </w:p>
        </w:tc>
      </w:tr>
    </w:tbl>
    <w:p w14:paraId="7226B690" w14:textId="77777777" w:rsidR="0034429F" w:rsidRPr="00134DD5" w:rsidRDefault="00000000" w:rsidP="00134DD5">
      <w:pPr>
        <w:jc w:val="both"/>
        <w:rPr>
          <w:rFonts w:ascii="Times New Roman" w:hAnsi="Times New Roman" w:cs="Times New Roman"/>
          <w:i/>
          <w:iCs/>
        </w:rPr>
      </w:pPr>
      <w:r w:rsidRPr="00134DD5">
        <w:rPr>
          <w:rFonts w:ascii="Times New Roman" w:hAnsi="Times New Roman" w:cs="Times New Roman"/>
          <w:i/>
          <w:iCs/>
        </w:rPr>
        <w:t>Notes. Turning points are implied optima from quadratic (inverted U-shaped) relationships between speech rate and engagement. Confidence intervals are based on nonparametric bootstrapping (800 resamples) using session-level data. Speech rate is measured as characters per minute (CPM).</w:t>
      </w:r>
    </w:p>
    <w:p w14:paraId="5236AB79" w14:textId="77777777" w:rsidR="0034429F" w:rsidRDefault="0034429F"/>
    <w:p w14:paraId="165D0FDC" w14:textId="77777777" w:rsidR="0034429F" w:rsidRPr="00134DD5" w:rsidRDefault="00000000" w:rsidP="00134DD5">
      <w:pPr>
        <w:jc w:val="both"/>
        <w:rPr>
          <w:rFonts w:ascii="Times New Roman" w:hAnsi="Times New Roman" w:cs="Times New Roman"/>
          <w:sz w:val="21"/>
          <w:szCs w:val="21"/>
        </w:rPr>
      </w:pPr>
      <w:r w:rsidRPr="00134DD5">
        <w:rPr>
          <w:rFonts w:ascii="Times New Roman" w:hAnsi="Times New Roman" w:cs="Times New Roman"/>
          <w:b/>
          <w:sz w:val="21"/>
          <w:szCs w:val="21"/>
        </w:rPr>
        <w:t>Appendix Table R2. Robustness Check: English Utterance Proportion and Its Association with Content Difficulty</w:t>
      </w:r>
    </w:p>
    <w:p w14:paraId="0B3628AB" w14:textId="77777777" w:rsidR="0034429F" w:rsidRPr="00134DD5" w:rsidRDefault="00000000">
      <w:pPr>
        <w:rPr>
          <w:rFonts w:ascii="Times New Roman" w:hAnsi="Times New Roman" w:cs="Times New Roman"/>
          <w:sz w:val="21"/>
          <w:szCs w:val="21"/>
        </w:rPr>
      </w:pPr>
      <w:r w:rsidRPr="00134DD5">
        <w:rPr>
          <w:rFonts w:ascii="Times New Roman" w:hAnsi="Times New Roman" w:cs="Times New Roman"/>
          <w:i/>
          <w:sz w:val="21"/>
          <w:szCs w:val="21"/>
        </w:rPr>
        <w:t>Panel A. Descriptive statistics of English utterance proportion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57"/>
        <w:gridCol w:w="2156"/>
        <w:gridCol w:w="2156"/>
        <w:gridCol w:w="2155"/>
      </w:tblGrid>
      <w:tr w:rsidR="0034429F" w:rsidRPr="00134DD5" w14:paraId="4AD6CF9E" w14:textId="77777777">
        <w:tc>
          <w:tcPr>
            <w:tcW w:w="2160" w:type="dxa"/>
          </w:tcPr>
          <w:p w14:paraId="37C2CF02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Variable</w:t>
            </w:r>
          </w:p>
        </w:tc>
        <w:tc>
          <w:tcPr>
            <w:tcW w:w="2160" w:type="dxa"/>
          </w:tcPr>
          <w:p w14:paraId="478C63FB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Mean (%)</w:t>
            </w:r>
          </w:p>
        </w:tc>
        <w:tc>
          <w:tcPr>
            <w:tcW w:w="2160" w:type="dxa"/>
          </w:tcPr>
          <w:p w14:paraId="6FE46F5E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Max (%)</w:t>
            </w:r>
          </w:p>
        </w:tc>
        <w:tc>
          <w:tcPr>
            <w:tcW w:w="2160" w:type="dxa"/>
          </w:tcPr>
          <w:p w14:paraId="29916B86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</w:tr>
      <w:tr w:rsidR="0034429F" w:rsidRPr="00134DD5" w14:paraId="45BB3684" w14:textId="77777777">
        <w:tc>
          <w:tcPr>
            <w:tcW w:w="2160" w:type="dxa"/>
          </w:tcPr>
          <w:p w14:paraId="2DE7B55E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English utterance proportion</w:t>
            </w:r>
          </w:p>
        </w:tc>
        <w:tc>
          <w:tcPr>
            <w:tcW w:w="2160" w:type="dxa"/>
          </w:tcPr>
          <w:p w14:paraId="2D25B03D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5.45</w:t>
            </w:r>
          </w:p>
        </w:tc>
        <w:tc>
          <w:tcPr>
            <w:tcW w:w="2160" w:type="dxa"/>
          </w:tcPr>
          <w:p w14:paraId="19E6ECE1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10.00</w:t>
            </w:r>
          </w:p>
        </w:tc>
        <w:tc>
          <w:tcPr>
            <w:tcW w:w="2160" w:type="dxa"/>
          </w:tcPr>
          <w:p w14:paraId="4B1A299D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</w:tbl>
    <w:p w14:paraId="3A272E8F" w14:textId="77777777" w:rsidR="0034429F" w:rsidRPr="00134DD5" w:rsidRDefault="00000000">
      <w:pPr>
        <w:rPr>
          <w:rFonts w:ascii="Times New Roman" w:hAnsi="Times New Roman" w:cs="Times New Roman"/>
          <w:sz w:val="21"/>
          <w:szCs w:val="21"/>
        </w:rPr>
      </w:pPr>
      <w:r w:rsidRPr="00134DD5">
        <w:rPr>
          <w:rFonts w:ascii="Times New Roman" w:hAnsi="Times New Roman" w:cs="Times New Roman"/>
          <w:i/>
          <w:sz w:val="21"/>
          <w:szCs w:val="21"/>
        </w:rPr>
        <w:t>Panel B. Test of systematic variation by content difficulty (OLS regression)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6"/>
        <w:gridCol w:w="1725"/>
        <w:gridCol w:w="1726"/>
        <w:gridCol w:w="1724"/>
        <w:gridCol w:w="1723"/>
      </w:tblGrid>
      <w:tr w:rsidR="0034429F" w:rsidRPr="00134DD5" w14:paraId="6DDC6353" w14:textId="77777777">
        <w:tc>
          <w:tcPr>
            <w:tcW w:w="1728" w:type="dxa"/>
          </w:tcPr>
          <w:p w14:paraId="0C31FE2B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Dependent variable</w:t>
            </w:r>
          </w:p>
        </w:tc>
        <w:tc>
          <w:tcPr>
            <w:tcW w:w="1728" w:type="dxa"/>
          </w:tcPr>
          <w:p w14:paraId="74F05F68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Predictor</w:t>
            </w:r>
          </w:p>
        </w:tc>
        <w:tc>
          <w:tcPr>
            <w:tcW w:w="1728" w:type="dxa"/>
          </w:tcPr>
          <w:p w14:paraId="448903EE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Coefficient</w:t>
            </w:r>
          </w:p>
        </w:tc>
        <w:tc>
          <w:tcPr>
            <w:tcW w:w="1728" w:type="dxa"/>
          </w:tcPr>
          <w:p w14:paraId="576891B5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p-value</w:t>
            </w:r>
          </w:p>
        </w:tc>
        <w:tc>
          <w:tcPr>
            <w:tcW w:w="1728" w:type="dxa"/>
          </w:tcPr>
          <w:p w14:paraId="61AABB32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</w:tr>
      <w:tr w:rsidR="0034429F" w:rsidRPr="00134DD5" w14:paraId="4C2F81BA" w14:textId="77777777">
        <w:tc>
          <w:tcPr>
            <w:tcW w:w="1728" w:type="dxa"/>
          </w:tcPr>
          <w:p w14:paraId="3ADB5227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English utterance proportion (0–1)</w:t>
            </w:r>
          </w:p>
        </w:tc>
        <w:tc>
          <w:tcPr>
            <w:tcW w:w="1728" w:type="dxa"/>
          </w:tcPr>
          <w:p w14:paraId="0AEB6455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Content difficulty</w:t>
            </w:r>
          </w:p>
        </w:tc>
        <w:tc>
          <w:tcPr>
            <w:tcW w:w="1728" w:type="dxa"/>
          </w:tcPr>
          <w:p w14:paraId="0374D345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0.0014</w:t>
            </w:r>
          </w:p>
        </w:tc>
        <w:tc>
          <w:tcPr>
            <w:tcW w:w="1728" w:type="dxa"/>
          </w:tcPr>
          <w:p w14:paraId="33D9AEFF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0.065</w:t>
            </w:r>
          </w:p>
        </w:tc>
        <w:tc>
          <w:tcPr>
            <w:tcW w:w="1728" w:type="dxa"/>
          </w:tcPr>
          <w:p w14:paraId="411B3791" w14:textId="77777777" w:rsidR="0034429F" w:rsidRPr="00134DD5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</w:tbl>
    <w:p w14:paraId="5590A46C" w14:textId="77777777" w:rsidR="0034429F" w:rsidRPr="00134DD5" w:rsidRDefault="00000000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134DD5">
        <w:rPr>
          <w:rFonts w:ascii="Times New Roman" w:hAnsi="Times New Roman" w:cs="Times New Roman"/>
          <w:i/>
          <w:iCs/>
          <w:sz w:val="21"/>
          <w:szCs w:val="21"/>
        </w:rPr>
        <w:t>Notes. English utterance proportion is computed from the analytical clips. Panel B tests whether English usage systematically varies with rated content difficulty.</w:t>
      </w:r>
    </w:p>
    <w:p w14:paraId="290093A2" w14:textId="77777777" w:rsidR="0034429F" w:rsidRDefault="0034429F"/>
    <w:p w14:paraId="162C83DF" w14:textId="77777777" w:rsidR="0034429F" w:rsidRPr="00134DD5" w:rsidRDefault="00000000" w:rsidP="00134DD5">
      <w:pPr>
        <w:jc w:val="both"/>
        <w:rPr>
          <w:rFonts w:ascii="Times New Roman" w:hAnsi="Times New Roman" w:cs="Times New Roman"/>
          <w:sz w:val="21"/>
          <w:szCs w:val="21"/>
        </w:rPr>
      </w:pPr>
      <w:r w:rsidRPr="00134DD5">
        <w:rPr>
          <w:rFonts w:ascii="Times New Roman" w:hAnsi="Times New Roman" w:cs="Times New Roman"/>
          <w:b/>
          <w:sz w:val="21"/>
          <w:szCs w:val="21"/>
        </w:rPr>
        <w:lastRenderedPageBreak/>
        <w:t>Appendix Table R3. Robustness Check: Downstream Links Under Alternative Outcome Specifications</w:t>
      </w:r>
    </w:p>
    <w:p w14:paraId="44CBC991" w14:textId="77777777" w:rsidR="0034429F" w:rsidRPr="00134DD5" w:rsidRDefault="00000000" w:rsidP="00134DD5">
      <w:pPr>
        <w:jc w:val="both"/>
        <w:rPr>
          <w:rFonts w:ascii="Times New Roman" w:hAnsi="Times New Roman" w:cs="Times New Roman"/>
          <w:sz w:val="21"/>
          <w:szCs w:val="21"/>
        </w:rPr>
      </w:pPr>
      <w:r w:rsidRPr="00134DD5">
        <w:rPr>
          <w:rFonts w:ascii="Times New Roman" w:hAnsi="Times New Roman" w:cs="Times New Roman"/>
          <w:i/>
          <w:sz w:val="21"/>
          <w:szCs w:val="21"/>
        </w:rPr>
        <w:t>Panel A. Engagement → Purchase clicks (log vs. raw; controls included)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8"/>
        <w:gridCol w:w="1439"/>
        <w:gridCol w:w="1438"/>
        <w:gridCol w:w="1436"/>
        <w:gridCol w:w="1439"/>
        <w:gridCol w:w="1434"/>
      </w:tblGrid>
      <w:tr w:rsidR="0034429F" w:rsidRPr="00134DD5" w14:paraId="3390AB0D" w14:textId="77777777">
        <w:tc>
          <w:tcPr>
            <w:tcW w:w="1440" w:type="dxa"/>
          </w:tcPr>
          <w:p w14:paraId="5900AB6C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Dependent variable</w:t>
            </w:r>
          </w:p>
        </w:tc>
        <w:tc>
          <w:tcPr>
            <w:tcW w:w="1440" w:type="dxa"/>
          </w:tcPr>
          <w:p w14:paraId="09BD2FB8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Predictor</w:t>
            </w:r>
          </w:p>
        </w:tc>
        <w:tc>
          <w:tcPr>
            <w:tcW w:w="1440" w:type="dxa"/>
          </w:tcPr>
          <w:p w14:paraId="39DC6562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Coefficient (b)</w:t>
            </w:r>
          </w:p>
        </w:tc>
        <w:tc>
          <w:tcPr>
            <w:tcW w:w="1440" w:type="dxa"/>
          </w:tcPr>
          <w:p w14:paraId="572A3BA3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p-value</w:t>
            </w:r>
          </w:p>
        </w:tc>
        <w:tc>
          <w:tcPr>
            <w:tcW w:w="1440" w:type="dxa"/>
          </w:tcPr>
          <w:p w14:paraId="0A3ED0A8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Controls included</w:t>
            </w:r>
          </w:p>
        </w:tc>
        <w:tc>
          <w:tcPr>
            <w:tcW w:w="1440" w:type="dxa"/>
          </w:tcPr>
          <w:p w14:paraId="26D77AD9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</w:tr>
      <w:tr w:rsidR="0034429F" w:rsidRPr="00134DD5" w14:paraId="5E2D12B7" w14:textId="77777777">
        <w:tc>
          <w:tcPr>
            <w:tcW w:w="1440" w:type="dxa"/>
          </w:tcPr>
          <w:p w14:paraId="4FFEF1DB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Ln_Clicks (Ln(x+1))</w:t>
            </w:r>
          </w:p>
        </w:tc>
        <w:tc>
          <w:tcPr>
            <w:tcW w:w="1440" w:type="dxa"/>
          </w:tcPr>
          <w:p w14:paraId="02913A20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Affective engagement (AE-index)</w:t>
            </w:r>
          </w:p>
        </w:tc>
        <w:tc>
          <w:tcPr>
            <w:tcW w:w="1440" w:type="dxa"/>
          </w:tcPr>
          <w:p w14:paraId="186F8FC1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0.217</w:t>
            </w:r>
          </w:p>
        </w:tc>
        <w:tc>
          <w:tcPr>
            <w:tcW w:w="1440" w:type="dxa"/>
          </w:tcPr>
          <w:p w14:paraId="0AEAA673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&lt; .001</w:t>
            </w:r>
          </w:p>
        </w:tc>
        <w:tc>
          <w:tcPr>
            <w:tcW w:w="1440" w:type="dxa"/>
          </w:tcPr>
          <w:p w14:paraId="67005142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Yes (paid_count, fans_count)</w:t>
            </w:r>
          </w:p>
        </w:tc>
        <w:tc>
          <w:tcPr>
            <w:tcW w:w="1440" w:type="dxa"/>
          </w:tcPr>
          <w:p w14:paraId="123A35C2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34429F" w:rsidRPr="00134DD5" w14:paraId="03E8469A" w14:textId="77777777">
        <w:tc>
          <w:tcPr>
            <w:tcW w:w="1440" w:type="dxa"/>
          </w:tcPr>
          <w:p w14:paraId="0233DC03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Ln_Clicks (Ln(x+1))</w:t>
            </w:r>
          </w:p>
        </w:tc>
        <w:tc>
          <w:tcPr>
            <w:tcW w:w="1440" w:type="dxa"/>
          </w:tcPr>
          <w:p w14:paraId="1A8C174A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Cognitive engagement (CE-index)</w:t>
            </w:r>
          </w:p>
        </w:tc>
        <w:tc>
          <w:tcPr>
            <w:tcW w:w="1440" w:type="dxa"/>
          </w:tcPr>
          <w:p w14:paraId="0B662E35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0.070</w:t>
            </w:r>
          </w:p>
        </w:tc>
        <w:tc>
          <w:tcPr>
            <w:tcW w:w="1440" w:type="dxa"/>
          </w:tcPr>
          <w:p w14:paraId="6A0753D6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&lt; .001</w:t>
            </w:r>
          </w:p>
        </w:tc>
        <w:tc>
          <w:tcPr>
            <w:tcW w:w="1440" w:type="dxa"/>
          </w:tcPr>
          <w:p w14:paraId="36281581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Yes (paid_count, fans_count)</w:t>
            </w:r>
          </w:p>
        </w:tc>
        <w:tc>
          <w:tcPr>
            <w:tcW w:w="1440" w:type="dxa"/>
          </w:tcPr>
          <w:p w14:paraId="3ACDCAC2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34429F" w:rsidRPr="00134DD5" w14:paraId="3BC0520B" w14:textId="77777777">
        <w:tc>
          <w:tcPr>
            <w:tcW w:w="1440" w:type="dxa"/>
          </w:tcPr>
          <w:p w14:paraId="00E9386C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Raw clicks</w:t>
            </w:r>
          </w:p>
        </w:tc>
        <w:tc>
          <w:tcPr>
            <w:tcW w:w="1440" w:type="dxa"/>
          </w:tcPr>
          <w:p w14:paraId="0E263CBD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Affective engagement (AE-index)</w:t>
            </w:r>
          </w:p>
        </w:tc>
        <w:tc>
          <w:tcPr>
            <w:tcW w:w="1440" w:type="dxa"/>
          </w:tcPr>
          <w:p w14:paraId="6BF4C64C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54.144</w:t>
            </w:r>
          </w:p>
        </w:tc>
        <w:tc>
          <w:tcPr>
            <w:tcW w:w="1440" w:type="dxa"/>
          </w:tcPr>
          <w:p w14:paraId="28683A53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&lt; .001</w:t>
            </w:r>
          </w:p>
        </w:tc>
        <w:tc>
          <w:tcPr>
            <w:tcW w:w="1440" w:type="dxa"/>
          </w:tcPr>
          <w:p w14:paraId="419242D1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Yes (paid_count, fans_count)</w:t>
            </w:r>
          </w:p>
        </w:tc>
        <w:tc>
          <w:tcPr>
            <w:tcW w:w="1440" w:type="dxa"/>
          </w:tcPr>
          <w:p w14:paraId="231A1C67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34429F" w:rsidRPr="00134DD5" w14:paraId="0921AFF7" w14:textId="77777777">
        <w:tc>
          <w:tcPr>
            <w:tcW w:w="1440" w:type="dxa"/>
          </w:tcPr>
          <w:p w14:paraId="5C18336E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Raw clicks</w:t>
            </w:r>
          </w:p>
        </w:tc>
        <w:tc>
          <w:tcPr>
            <w:tcW w:w="1440" w:type="dxa"/>
          </w:tcPr>
          <w:p w14:paraId="2779EF16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Cognitive engagement (CE-index)</w:t>
            </w:r>
          </w:p>
        </w:tc>
        <w:tc>
          <w:tcPr>
            <w:tcW w:w="1440" w:type="dxa"/>
          </w:tcPr>
          <w:p w14:paraId="0BD5D698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6.825</w:t>
            </w:r>
          </w:p>
        </w:tc>
        <w:tc>
          <w:tcPr>
            <w:tcW w:w="1440" w:type="dxa"/>
          </w:tcPr>
          <w:p w14:paraId="25963028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0.292</w:t>
            </w:r>
          </w:p>
        </w:tc>
        <w:tc>
          <w:tcPr>
            <w:tcW w:w="1440" w:type="dxa"/>
          </w:tcPr>
          <w:p w14:paraId="0DC22515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Yes (paid_count, fans_count)</w:t>
            </w:r>
          </w:p>
        </w:tc>
        <w:tc>
          <w:tcPr>
            <w:tcW w:w="1440" w:type="dxa"/>
          </w:tcPr>
          <w:p w14:paraId="6C155318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</w:tbl>
    <w:p w14:paraId="6C684E1A" w14:textId="77777777" w:rsidR="0034429F" w:rsidRPr="00134DD5" w:rsidRDefault="00000000" w:rsidP="00134DD5">
      <w:pPr>
        <w:jc w:val="both"/>
        <w:rPr>
          <w:rFonts w:ascii="Times New Roman" w:hAnsi="Times New Roman" w:cs="Times New Roman"/>
          <w:sz w:val="21"/>
          <w:szCs w:val="21"/>
        </w:rPr>
      </w:pPr>
      <w:r w:rsidRPr="00134DD5">
        <w:rPr>
          <w:rFonts w:ascii="Times New Roman" w:hAnsi="Times New Roman" w:cs="Times New Roman"/>
          <w:i/>
          <w:sz w:val="21"/>
          <w:szCs w:val="21"/>
        </w:rPr>
        <w:t>Panel B. Purchase clicks → Revenue (log vs. raw)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6"/>
        <w:gridCol w:w="1725"/>
        <w:gridCol w:w="1726"/>
        <w:gridCol w:w="1724"/>
        <w:gridCol w:w="1723"/>
      </w:tblGrid>
      <w:tr w:rsidR="0034429F" w:rsidRPr="00134DD5" w14:paraId="589B5E65" w14:textId="77777777">
        <w:tc>
          <w:tcPr>
            <w:tcW w:w="1728" w:type="dxa"/>
          </w:tcPr>
          <w:p w14:paraId="78891E33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Dependent variable</w:t>
            </w:r>
          </w:p>
        </w:tc>
        <w:tc>
          <w:tcPr>
            <w:tcW w:w="1728" w:type="dxa"/>
          </w:tcPr>
          <w:p w14:paraId="3F5873F4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Predictor</w:t>
            </w:r>
          </w:p>
        </w:tc>
        <w:tc>
          <w:tcPr>
            <w:tcW w:w="1728" w:type="dxa"/>
          </w:tcPr>
          <w:p w14:paraId="3F6520FF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Coefficient (b)</w:t>
            </w:r>
          </w:p>
        </w:tc>
        <w:tc>
          <w:tcPr>
            <w:tcW w:w="1728" w:type="dxa"/>
          </w:tcPr>
          <w:p w14:paraId="25AFA9CF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p-value</w:t>
            </w:r>
          </w:p>
        </w:tc>
        <w:tc>
          <w:tcPr>
            <w:tcW w:w="1728" w:type="dxa"/>
          </w:tcPr>
          <w:p w14:paraId="5F123580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</w:tr>
      <w:tr w:rsidR="0034429F" w:rsidRPr="00134DD5" w14:paraId="09FFE96F" w14:textId="77777777">
        <w:tc>
          <w:tcPr>
            <w:tcW w:w="1728" w:type="dxa"/>
          </w:tcPr>
          <w:p w14:paraId="5B811BEF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Ln_Revenue</w:t>
            </w:r>
          </w:p>
        </w:tc>
        <w:tc>
          <w:tcPr>
            <w:tcW w:w="1728" w:type="dxa"/>
          </w:tcPr>
          <w:p w14:paraId="03199876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Ln_Clicks</w:t>
            </w:r>
          </w:p>
        </w:tc>
        <w:tc>
          <w:tcPr>
            <w:tcW w:w="1728" w:type="dxa"/>
          </w:tcPr>
          <w:p w14:paraId="07FAAB48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0.721</w:t>
            </w:r>
          </w:p>
        </w:tc>
        <w:tc>
          <w:tcPr>
            <w:tcW w:w="1728" w:type="dxa"/>
          </w:tcPr>
          <w:p w14:paraId="3689966B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&lt; .001</w:t>
            </w:r>
          </w:p>
        </w:tc>
        <w:tc>
          <w:tcPr>
            <w:tcW w:w="1728" w:type="dxa"/>
          </w:tcPr>
          <w:p w14:paraId="575C4640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34429F" w:rsidRPr="00134DD5" w14:paraId="7BC1EA96" w14:textId="77777777">
        <w:tc>
          <w:tcPr>
            <w:tcW w:w="1728" w:type="dxa"/>
          </w:tcPr>
          <w:p w14:paraId="39AAF52E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Raw revenue</w:t>
            </w:r>
          </w:p>
        </w:tc>
        <w:tc>
          <w:tcPr>
            <w:tcW w:w="1728" w:type="dxa"/>
          </w:tcPr>
          <w:p w14:paraId="6E8CC5D7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Raw clicks</w:t>
            </w:r>
          </w:p>
        </w:tc>
        <w:tc>
          <w:tcPr>
            <w:tcW w:w="1728" w:type="dxa"/>
          </w:tcPr>
          <w:p w14:paraId="298ECB08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15.418</w:t>
            </w:r>
          </w:p>
        </w:tc>
        <w:tc>
          <w:tcPr>
            <w:tcW w:w="1728" w:type="dxa"/>
          </w:tcPr>
          <w:p w14:paraId="660FCA8B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&lt; .001</w:t>
            </w:r>
          </w:p>
        </w:tc>
        <w:tc>
          <w:tcPr>
            <w:tcW w:w="1728" w:type="dxa"/>
          </w:tcPr>
          <w:p w14:paraId="06DA3222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</w:tbl>
    <w:p w14:paraId="59516B16" w14:textId="77777777" w:rsidR="0034429F" w:rsidRPr="00134DD5" w:rsidRDefault="00000000" w:rsidP="00134DD5">
      <w:pPr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134DD5">
        <w:rPr>
          <w:rFonts w:ascii="Times New Roman" w:hAnsi="Times New Roman" w:cs="Times New Roman"/>
          <w:i/>
          <w:iCs/>
          <w:sz w:val="21"/>
          <w:szCs w:val="21"/>
        </w:rPr>
        <w:t>Notes. Panel A estimates engagement–click links under log-transformed and raw click outcomes, controlling for paid_count and fans_count. Panel B reports the click–revenue link under log and raw specifications.</w:t>
      </w:r>
    </w:p>
    <w:p w14:paraId="238608BB" w14:textId="77777777" w:rsidR="0034429F" w:rsidRPr="00134DD5" w:rsidRDefault="0034429F" w:rsidP="00134DD5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6809AA53" w14:textId="77777777" w:rsidR="0034429F" w:rsidRPr="00134DD5" w:rsidRDefault="00000000" w:rsidP="00134DD5">
      <w:pPr>
        <w:jc w:val="both"/>
        <w:rPr>
          <w:rFonts w:ascii="Times New Roman" w:hAnsi="Times New Roman" w:cs="Times New Roman"/>
          <w:sz w:val="21"/>
          <w:szCs w:val="21"/>
        </w:rPr>
      </w:pPr>
      <w:r w:rsidRPr="00134DD5">
        <w:rPr>
          <w:rFonts w:ascii="Times New Roman" w:hAnsi="Times New Roman" w:cs="Times New Roman"/>
          <w:b/>
          <w:sz w:val="21"/>
          <w:szCs w:val="21"/>
        </w:rPr>
        <w:t>Appendix Table R4. Supplementary Check: Speech-Rate Variation by Audience Size Quartiles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40"/>
        <w:gridCol w:w="1384"/>
        <w:gridCol w:w="1400"/>
        <w:gridCol w:w="1400"/>
        <w:gridCol w:w="1400"/>
        <w:gridCol w:w="1400"/>
      </w:tblGrid>
      <w:tr w:rsidR="0034429F" w:rsidRPr="00134DD5" w14:paraId="455333DE" w14:textId="77777777">
        <w:tc>
          <w:tcPr>
            <w:tcW w:w="1440" w:type="dxa"/>
          </w:tcPr>
          <w:p w14:paraId="55D81B6D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Audience size quartile (viewers_online)</w:t>
            </w:r>
          </w:p>
        </w:tc>
        <w:tc>
          <w:tcPr>
            <w:tcW w:w="1440" w:type="dxa"/>
          </w:tcPr>
          <w:p w14:paraId="5EA1064D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440" w:type="dxa"/>
          </w:tcPr>
          <w:p w14:paraId="627BB2C7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Mean CPM</w:t>
            </w:r>
          </w:p>
        </w:tc>
        <w:tc>
          <w:tcPr>
            <w:tcW w:w="1440" w:type="dxa"/>
          </w:tcPr>
          <w:p w14:paraId="3E867155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SD</w:t>
            </w:r>
          </w:p>
        </w:tc>
        <w:tc>
          <w:tcPr>
            <w:tcW w:w="1440" w:type="dxa"/>
          </w:tcPr>
          <w:p w14:paraId="46B69914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Min</w:t>
            </w:r>
          </w:p>
        </w:tc>
        <w:tc>
          <w:tcPr>
            <w:tcW w:w="1440" w:type="dxa"/>
          </w:tcPr>
          <w:p w14:paraId="661B6DE1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Max</w:t>
            </w:r>
          </w:p>
        </w:tc>
      </w:tr>
      <w:tr w:rsidR="0034429F" w:rsidRPr="00134DD5" w14:paraId="0D7E1A04" w14:textId="77777777">
        <w:tc>
          <w:tcPr>
            <w:tcW w:w="1440" w:type="dxa"/>
          </w:tcPr>
          <w:p w14:paraId="23F9B167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Q1 (lowest)</w:t>
            </w:r>
          </w:p>
        </w:tc>
        <w:tc>
          <w:tcPr>
            <w:tcW w:w="1440" w:type="dxa"/>
          </w:tcPr>
          <w:p w14:paraId="3D178985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132</w:t>
            </w:r>
          </w:p>
        </w:tc>
        <w:tc>
          <w:tcPr>
            <w:tcW w:w="1440" w:type="dxa"/>
          </w:tcPr>
          <w:p w14:paraId="4B0389A2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286.57</w:t>
            </w:r>
          </w:p>
        </w:tc>
        <w:tc>
          <w:tcPr>
            <w:tcW w:w="1440" w:type="dxa"/>
          </w:tcPr>
          <w:p w14:paraId="61C3EF48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125.09</w:t>
            </w:r>
          </w:p>
        </w:tc>
        <w:tc>
          <w:tcPr>
            <w:tcW w:w="1440" w:type="dxa"/>
          </w:tcPr>
          <w:p w14:paraId="34BF786C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73.97</w:t>
            </w:r>
          </w:p>
        </w:tc>
        <w:tc>
          <w:tcPr>
            <w:tcW w:w="1440" w:type="dxa"/>
          </w:tcPr>
          <w:p w14:paraId="307B83DA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877.06</w:t>
            </w:r>
          </w:p>
        </w:tc>
      </w:tr>
      <w:tr w:rsidR="0034429F" w:rsidRPr="00134DD5" w14:paraId="6E14546C" w14:textId="77777777">
        <w:tc>
          <w:tcPr>
            <w:tcW w:w="1440" w:type="dxa"/>
          </w:tcPr>
          <w:p w14:paraId="39B8BA6F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Q2</w:t>
            </w:r>
          </w:p>
        </w:tc>
        <w:tc>
          <w:tcPr>
            <w:tcW w:w="1440" w:type="dxa"/>
          </w:tcPr>
          <w:p w14:paraId="7ED509E4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133</w:t>
            </w:r>
          </w:p>
        </w:tc>
        <w:tc>
          <w:tcPr>
            <w:tcW w:w="1440" w:type="dxa"/>
          </w:tcPr>
          <w:p w14:paraId="4DE95A4D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262.22</w:t>
            </w:r>
          </w:p>
        </w:tc>
        <w:tc>
          <w:tcPr>
            <w:tcW w:w="1440" w:type="dxa"/>
          </w:tcPr>
          <w:p w14:paraId="0C3A1A29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53.25</w:t>
            </w:r>
          </w:p>
        </w:tc>
        <w:tc>
          <w:tcPr>
            <w:tcW w:w="1440" w:type="dxa"/>
          </w:tcPr>
          <w:p w14:paraId="2C0A56BC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124.69</w:t>
            </w:r>
          </w:p>
        </w:tc>
        <w:tc>
          <w:tcPr>
            <w:tcW w:w="1440" w:type="dxa"/>
          </w:tcPr>
          <w:p w14:paraId="23AE3AD9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388.36</w:t>
            </w:r>
          </w:p>
        </w:tc>
      </w:tr>
      <w:tr w:rsidR="0034429F" w:rsidRPr="00134DD5" w14:paraId="50B8DA3A" w14:textId="77777777">
        <w:tc>
          <w:tcPr>
            <w:tcW w:w="1440" w:type="dxa"/>
          </w:tcPr>
          <w:p w14:paraId="1CF798EA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Q3</w:t>
            </w:r>
          </w:p>
        </w:tc>
        <w:tc>
          <w:tcPr>
            <w:tcW w:w="1440" w:type="dxa"/>
          </w:tcPr>
          <w:p w14:paraId="61B20F37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131</w:t>
            </w:r>
          </w:p>
        </w:tc>
        <w:tc>
          <w:tcPr>
            <w:tcW w:w="1440" w:type="dxa"/>
          </w:tcPr>
          <w:p w14:paraId="06FE9264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284.89</w:t>
            </w:r>
          </w:p>
        </w:tc>
        <w:tc>
          <w:tcPr>
            <w:tcW w:w="1440" w:type="dxa"/>
          </w:tcPr>
          <w:p w14:paraId="6F42BEE5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53.30</w:t>
            </w:r>
          </w:p>
        </w:tc>
        <w:tc>
          <w:tcPr>
            <w:tcW w:w="1440" w:type="dxa"/>
          </w:tcPr>
          <w:p w14:paraId="6EA25CB6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123.01</w:t>
            </w:r>
          </w:p>
        </w:tc>
        <w:tc>
          <w:tcPr>
            <w:tcW w:w="1440" w:type="dxa"/>
          </w:tcPr>
          <w:p w14:paraId="65CBA654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396.28</w:t>
            </w:r>
          </w:p>
        </w:tc>
      </w:tr>
      <w:tr w:rsidR="0034429F" w:rsidRPr="00134DD5" w14:paraId="4F22E715" w14:textId="77777777">
        <w:tc>
          <w:tcPr>
            <w:tcW w:w="1440" w:type="dxa"/>
          </w:tcPr>
          <w:p w14:paraId="5E98CA9F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Q4 (highest)</w:t>
            </w:r>
          </w:p>
        </w:tc>
        <w:tc>
          <w:tcPr>
            <w:tcW w:w="1440" w:type="dxa"/>
          </w:tcPr>
          <w:p w14:paraId="26A210A7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132</w:t>
            </w:r>
          </w:p>
        </w:tc>
        <w:tc>
          <w:tcPr>
            <w:tcW w:w="1440" w:type="dxa"/>
          </w:tcPr>
          <w:p w14:paraId="326596CF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280.84</w:t>
            </w:r>
          </w:p>
        </w:tc>
        <w:tc>
          <w:tcPr>
            <w:tcW w:w="1440" w:type="dxa"/>
          </w:tcPr>
          <w:p w14:paraId="7E574941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45.10</w:t>
            </w:r>
          </w:p>
        </w:tc>
        <w:tc>
          <w:tcPr>
            <w:tcW w:w="1440" w:type="dxa"/>
          </w:tcPr>
          <w:p w14:paraId="75A23C72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149.73</w:t>
            </w:r>
          </w:p>
        </w:tc>
        <w:tc>
          <w:tcPr>
            <w:tcW w:w="1440" w:type="dxa"/>
          </w:tcPr>
          <w:p w14:paraId="6BF5C8BD" w14:textId="77777777" w:rsidR="0034429F" w:rsidRPr="00134DD5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34DD5">
              <w:rPr>
                <w:rFonts w:ascii="Times New Roman" w:hAnsi="Times New Roman" w:cs="Times New Roman"/>
                <w:sz w:val="21"/>
                <w:szCs w:val="21"/>
              </w:rPr>
              <w:t>389.22</w:t>
            </w:r>
          </w:p>
        </w:tc>
      </w:tr>
    </w:tbl>
    <w:p w14:paraId="0907E42D" w14:textId="77777777" w:rsidR="0034429F" w:rsidRPr="00134DD5" w:rsidRDefault="00000000" w:rsidP="00134DD5">
      <w:pPr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134DD5">
        <w:rPr>
          <w:rFonts w:ascii="Times New Roman" w:hAnsi="Times New Roman" w:cs="Times New Roman"/>
          <w:i/>
          <w:iCs/>
          <w:sz w:val="21"/>
          <w:szCs w:val="21"/>
        </w:rPr>
        <w:t>Notes. In higher audience-size strata, within-group speech-rate variation is more range-restricted (smaller SD and narrower min–max), which can attenuate curvature estimates in subgroup models without implying a reversal of the overall inverted-U pattern.</w:t>
      </w:r>
    </w:p>
    <w:sectPr w:rsidR="0034429F" w:rsidRPr="00134D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534167">
    <w:abstractNumId w:val="8"/>
  </w:num>
  <w:num w:numId="2" w16cid:durableId="246496243">
    <w:abstractNumId w:val="6"/>
  </w:num>
  <w:num w:numId="3" w16cid:durableId="1617523602">
    <w:abstractNumId w:val="5"/>
  </w:num>
  <w:num w:numId="4" w16cid:durableId="1349796753">
    <w:abstractNumId w:val="4"/>
  </w:num>
  <w:num w:numId="5" w16cid:durableId="1314723700">
    <w:abstractNumId w:val="7"/>
  </w:num>
  <w:num w:numId="6" w16cid:durableId="696152763">
    <w:abstractNumId w:val="3"/>
  </w:num>
  <w:num w:numId="7" w16cid:durableId="1531725134">
    <w:abstractNumId w:val="2"/>
  </w:num>
  <w:num w:numId="8" w16cid:durableId="1137648724">
    <w:abstractNumId w:val="1"/>
  </w:num>
  <w:num w:numId="9" w16cid:durableId="110495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DD5"/>
    <w:rsid w:val="0015074B"/>
    <w:rsid w:val="00204573"/>
    <w:rsid w:val="0029639D"/>
    <w:rsid w:val="00326F90"/>
    <w:rsid w:val="0034429F"/>
    <w:rsid w:val="009259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A57AC"/>
  <w14:defaultImageDpi w14:val="300"/>
  <w15:docId w15:val="{0F4241C2-9AE1-4CFF-B9F3-FB205EA6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gaojie038@gmail.com</cp:lastModifiedBy>
  <cp:revision>2</cp:revision>
  <dcterms:created xsi:type="dcterms:W3CDTF">2026-01-24T10:12:00Z</dcterms:created>
  <dcterms:modified xsi:type="dcterms:W3CDTF">2026-01-24T10:12:00Z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2738faa2-dbad-4e05-a0b5-2231205359ef</vt:lpwstr>
  </property>
</Properties>
</file>